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dfae2f8c5f276e23a059e9a2062521b801d9b76"/>
    <w:p>
      <w:pPr>
        <w:pStyle w:val="Heading1"/>
      </w:pPr>
      <w:r>
        <w:t xml:space="preserve">Research Proposal: The Evolving Role of the Contemporary Banker in the Dynamic Financial Ecosystem of Miami, United States</w:t>
      </w:r>
    </w:p>
    <w:bookmarkStart w:id="20" w:name="introduction-and-background"/>
    <w:p>
      <w:pPr>
        <w:pStyle w:val="Heading2"/>
      </w:pPr>
      <w:r>
        <w:t xml:space="preserve">1. Introduction and Background</w:t>
      </w:r>
    </w:p>
    <w:p>
      <w:pPr>
        <w:pStyle w:val="FirstParagraph"/>
      </w:pPr>
      <w:r>
        <w:t xml:space="preserve">Miami, Florida stands as a pivotal financial hub within the United States, uniquely positioned at the confluence of North American, Latin American, and Caribbean economic corridors. As a global gateway for international commerce and wealth management, Miami houses over 300 financial institutions—including major multinational banks like JPMorgan Chase, Bank of America, and specialized regional lenders—serving a diverse clientele spanning high-net-worth individuals, multinational corporations, and emerging entrepreneurs. Within this vibrant ecosystem, the role of the</w:t>
      </w:r>
      <w:r>
        <w:t xml:space="preserve"> </w:t>
      </w:r>
      <w:r>
        <w:rPr>
          <w:bCs/>
          <w:b/>
        </w:rPr>
        <w:t xml:space="preserve">Banker</w:t>
      </w:r>
      <w:r>
        <w:t xml:space="preserve"> </w:t>
      </w:r>
      <w:r>
        <w:t xml:space="preserve">has undergone profound transformation beyond traditional transactional duties. Today's Miami-based Banker operates in an environment characterized by rapid technological disruption, stringent regulatory shifts (including FinCEN compliance), and intensifying demand for culturally intelligent financial solutions catering to a multicultural population. This research proposal addresses the critical need to systematically analyze how</w:t>
      </w:r>
      <w:r>
        <w:t xml:space="preserve"> </w:t>
      </w:r>
      <w:r>
        <w:rPr>
          <w:bCs/>
          <w:b/>
        </w:rPr>
        <w:t xml:space="preserve">Banker</w:t>
      </w:r>
      <w:r>
        <w:t xml:space="preserve">s in</w:t>
      </w:r>
      <w:r>
        <w:t xml:space="preserve"> </w:t>
      </w:r>
      <w:r>
        <w:rPr>
          <w:bCs/>
          <w:b/>
        </w:rPr>
        <w:t xml:space="preserve">United States Miami</w:t>
      </w:r>
      <w:r>
        <w:t xml:space="preserve"> </w:t>
      </w:r>
      <w:r>
        <w:t xml:space="preserve">are adapting to these multifaceted challenges while maintaining ethical integrity and client-centric service standards.</w:t>
      </w:r>
    </w:p>
    <w:bookmarkEnd w:id="20"/>
    <w:bookmarkStart w:id="21" w:name="problem-statement"/>
    <w:p>
      <w:pPr>
        <w:pStyle w:val="Heading2"/>
      </w:pPr>
      <w:r>
        <w:t xml:space="preserve">2. Problem Statement</w:t>
      </w:r>
    </w:p>
    <w:p>
      <w:pPr>
        <w:pStyle w:val="FirstParagraph"/>
      </w:pPr>
      <w:r>
        <w:t xml:space="preserve">The financial services sector in Miami faces unprecedented pressure from digital banking platforms, evolving regulatory frameworks (such as the Bank Secrecy Act amendments), and shifting demographic dynamics. Despite Miami's status as a top U.S. destination for international banking activity, there is a significant gap in empirical research examining how</w:t>
      </w:r>
      <w:r>
        <w:t xml:space="preserve"> </w:t>
      </w:r>
      <w:r>
        <w:rPr>
          <w:bCs/>
          <w:b/>
        </w:rPr>
        <w:t xml:space="preserve">Banker</w:t>
      </w:r>
      <w:r>
        <w:t xml:space="preserve">s navigate these complexities in practice. Current industry reports focus narrowly on macroeconomic trends or technology adoption rates, neglecting the human element—the evolving competencies, ethical dilemmas, and interpersonal skills required of front-line</w:t>
      </w:r>
      <w:r>
        <w:t xml:space="preserve"> </w:t>
      </w:r>
      <w:r>
        <w:rPr>
          <w:bCs/>
          <w:b/>
        </w:rPr>
        <w:t xml:space="preserve">Banker</w:t>
      </w:r>
      <w:r>
        <w:t xml:space="preserve">s. This oversight risks creating a disconnect between institutional strategy and ground-level execution. Without understanding the lived experience of Miami's</w:t>
      </w:r>
      <w:r>
        <w:t xml:space="preserve"> </w:t>
      </w:r>
      <w:r>
        <w:rPr>
          <w:bCs/>
          <w:b/>
        </w:rPr>
        <w:t xml:space="preserve">Banker</w:t>
      </w:r>
      <w:r>
        <w:t xml:space="preserve">, financial institutions may misallocate resources in talent development, inadvertently undermining their competitive position in the United States' most globally connected metropolitan banking market.</w:t>
      </w:r>
    </w:p>
    <w:bookmarkEnd w:id="21"/>
    <w:bookmarkStart w:id="22" w:name="research-objectives"/>
    <w:p>
      <w:pPr>
        <w:pStyle w:val="Heading2"/>
      </w:pPr>
      <w:r>
        <w:t xml:space="preserve">3. Research Objectives</w:t>
      </w:r>
    </w:p>
    <w:p>
      <w:pPr>
        <w:numPr>
          <w:ilvl w:val="0"/>
          <w:numId w:val="1001"/>
        </w:numPr>
        <w:pStyle w:val="Compact"/>
      </w:pPr>
      <w:r>
        <w:t xml:space="preserve">To identify and map the critical skill sets (technical, cultural, ethical) demanded of contemporary Bankers operating within Miami's unique financial ecosystem.</w:t>
      </w:r>
    </w:p>
    <w:p>
      <w:pPr>
        <w:numPr>
          <w:ilvl w:val="0"/>
          <w:numId w:val="1001"/>
        </w:numPr>
        <w:pStyle w:val="Compact"/>
      </w:pPr>
      <w:r>
        <w:t xml:space="preserve">To analyze the impact of fintech integration (e.g., AI-driven wealth platforms, blockchain-based remittance systems) on core banking roles in Miami's commercial and investment banking sectors.</w:t>
      </w:r>
    </w:p>
    <w:p>
      <w:pPr>
        <w:numPr>
          <w:ilvl w:val="0"/>
          <w:numId w:val="1001"/>
        </w:numPr>
        <w:pStyle w:val="Compact"/>
      </w:pPr>
      <w:r>
        <w:t xml:space="preserve">To assess how regulatory compliance requirements (particularly anti-money laundering protocols) shape daily decision-making processes for Bankers across diverse Miami institutions.</w:t>
      </w:r>
    </w:p>
    <w:p>
      <w:pPr>
        <w:numPr>
          <w:ilvl w:val="0"/>
          <w:numId w:val="1001"/>
        </w:numPr>
        <w:pStyle w:val="Compact"/>
      </w:pPr>
      <w:r>
        <w:t xml:space="preserve">To evaluate the relationship between cultural intelligence (especially regarding Latin American and Caribbean client bases) and client retention metrics in Miami's financial services landscape.</w:t>
      </w:r>
    </w:p>
    <w:p>
      <w:pPr>
        <w:numPr>
          <w:ilvl w:val="0"/>
          <w:numId w:val="1001"/>
        </w:numPr>
        <w:pStyle w:val="Compact"/>
      </w:pPr>
      <w:r>
        <w:t xml:space="preserve">To develop a forward-looking competency framework for the next-generation Banker tailored specifically to the United States Miami context.</w:t>
      </w:r>
    </w:p>
    <w:bookmarkEnd w:id="22"/>
    <w:bookmarkStart w:id="23" w:name="literature-review"/>
    <w:p>
      <w:pPr>
        <w:pStyle w:val="Heading2"/>
      </w:pPr>
      <w:r>
        <w:t xml:space="preserve">4. Literature Review</w:t>
      </w:r>
    </w:p>
    <w:p>
      <w:pPr>
        <w:pStyle w:val="FirstParagraph"/>
      </w:pPr>
      <w:r>
        <w:t xml:space="preserve">Existing scholarship on banking (e.g., Allen et al., 2021; IMF, 2023) emphasizes technological disruption in global financial centers like New York and London but rarely contextualizes Miami as a distinct case study. Recent work by the Federal Reserve Bank of Atlanta (2023) highlights Miami's role in cross-border trade finance but overlooks front-line banking operations. Similarly, studies on cultural intelligence in finance (Pérez &amp; Chen, 2022) focus on corporate headquarters rather than regional branches like those serving Miami's immigrant communities. Crucially, no empirical research has yet investigated how the</w:t>
      </w:r>
      <w:r>
        <w:t xml:space="preserve"> </w:t>
      </w:r>
      <w:r>
        <w:rPr>
          <w:bCs/>
          <w:b/>
        </w:rPr>
        <w:t xml:space="preserve">Banker</w:t>
      </w:r>
      <w:r>
        <w:t xml:space="preserve">'s role intersects with Miami's specific geopolitical positioning as a hub for Venezuelan capital flight, Cuban diaspora wealth management, and South American trade financing—factors that fundamentally shape client expectations and operational protocols within the</w:t>
      </w:r>
      <w:r>
        <w:t xml:space="preserve"> </w:t>
      </w:r>
      <w:r>
        <w:rPr>
          <w:bCs/>
          <w:b/>
        </w:rPr>
        <w:t xml:space="preserve">United States Miami</w:t>
      </w:r>
      <w:r>
        <w:t xml:space="preserve"> </w:t>
      </w:r>
      <w:r>
        <w:t xml:space="preserve">banking sector.</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Qualitative Exploration (Months 1-6)</w:t>
      </w:r>
      <w:r>
        <w:t xml:space="preserve">: In-depth interviews with 40+ Bankers across diverse Miami institutions (commercial banks, investment firms, fintech partnerships), stratified by tenure (0-5 years vs. 5+ years) and institutional size. Focus groups will examine ethical decision-making in complex scenarios like cross-border fund transfers.</w:t>
      </w:r>
    </w:p>
    <w:p>
      <w:pPr>
        <w:numPr>
          <w:ilvl w:val="0"/>
          <w:numId w:val="1002"/>
        </w:numPr>
        <w:pStyle w:val="Compact"/>
      </w:pPr>
      <w:r>
        <w:rPr>
          <w:bCs/>
          <w:b/>
        </w:rPr>
        <w:t xml:space="preserve">Phase 2: Quantitative Analysis (Months 7-12)</w:t>
      </w:r>
      <w:r>
        <w:t xml:space="preserve">: Survey of 300+ Bankers across Miami metro area using validated scales measuring technological adaptation, regulatory stress, and cultural intelligence. Correlating these with client satisfaction scores (from participating institutions' internal data) and retention rates.</w:t>
      </w:r>
    </w:p>
    <w:p>
      <w:pPr>
        <w:numPr>
          <w:ilvl w:val="0"/>
          <w:numId w:val="1002"/>
        </w:numPr>
        <w:pStyle w:val="Compact"/>
      </w:pPr>
      <w:r>
        <w:rPr>
          <w:bCs/>
          <w:b/>
        </w:rPr>
        <w:t xml:space="preserve">Phase 3: Framework Development (Months 13-18)</w:t>
      </w:r>
      <w:r>
        <w:t xml:space="preserve">: Collaborative workshops with Miami-based banking associations (e.g., Florida Bankers Association, Miami Chamber of Commerce) to co-create the competency framework, validated through expert panel review by senior bankers and compliance officers.</w:t>
      </w:r>
    </w:p>
    <w:p>
      <w:pPr>
        <w:pStyle w:val="FirstParagraph"/>
      </w:pPr>
      <w:r>
        <w:t xml:space="preserve">Sampling prioritizes diversity: 40% Latin American/Caribbean heritage Bankers (reflecting local demographics), representation across all major banking service lines (retail, corporate, wealth management), and inclusion of both legacy institutions and fintech-adjacent lenders. Data will be analyzed using thematic analysis for qualitative data and regression modeling for quantitative datasets.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field:</w:t>
      </w:r>
    </w:p>
    <w:p>
      <w:pPr>
        <w:numPr>
          <w:ilvl w:val="0"/>
          <w:numId w:val="1003"/>
        </w:numPr>
        <w:pStyle w:val="Compact"/>
      </w:pPr>
      <w:r>
        <w:rPr>
          <w:bCs/>
          <w:b/>
        </w:rPr>
        <w:t xml:space="preserve">A Miami-Specific Competency Matrix</w:t>
      </w:r>
      <w:r>
        <w:t xml:space="preserve">: A practical tool defining essential skills (e.g., "Cross-Border Compliance Navigator," "Multilingual Wealth Advisor") for Bankers, moving beyond generic industry standards to reflect Miami's unique geopolitical realities within the United States.</w:t>
      </w:r>
    </w:p>
    <w:p>
      <w:pPr>
        <w:numPr>
          <w:ilvl w:val="0"/>
          <w:numId w:val="1003"/>
        </w:numPr>
        <w:pStyle w:val="Compact"/>
      </w:pPr>
      <w:r>
        <w:rPr>
          <w:bCs/>
          <w:b/>
        </w:rPr>
        <w:t xml:space="preserve">Evidence-Based Institutional Strategies</w:t>
      </w:r>
      <w:r>
        <w:t xml:space="preserve">: Actionable insights for banks on talent development, technology implementation, and regulatory training—directly addressing gaps identified in preliminary industry consultations with major Miami financial institutions.</w:t>
      </w:r>
    </w:p>
    <w:p>
      <w:pPr>
        <w:numPr>
          <w:ilvl w:val="0"/>
          <w:numId w:val="1003"/>
        </w:numPr>
        <w:pStyle w:val="Compact"/>
      </w:pPr>
      <w:r>
        <w:rPr>
          <w:bCs/>
          <w:b/>
        </w:rPr>
        <w:t xml:space="preserve">Policy Recommendations for Regulatory Bodies</w:t>
      </w:r>
      <w:r>
        <w:t xml:space="preserve">: Proposed refinements to compliance frameworks that acknowledge Miami's role as a global financial node while enhancing operational efficiency for Bankers.</w:t>
      </w:r>
    </w:p>
    <w:p>
      <w:pPr>
        <w:pStyle w:val="FirstParagraph"/>
      </w:pPr>
      <w:r>
        <w:t xml:space="preserve">The significance extends beyond academia: By grounding the research in the specific context of Miami as a critical U.S. financial center, this project directly supports economic resilience. It enables institutions to optimize human capital investment in an era where client expectations increasingly demand personalized, culturally attuned service—a priority for Bankers navigating Miami's $102 billion metro economy (Miami-Dade County Economic Development Council, 2023). Furthermore, the framework developed will serve as a replicable model for other U.S. cities with similar international financial profiles (e.g., Houston, Los Angeles), positioning</w:t>
      </w:r>
      <w:r>
        <w:t xml:space="preserve"> </w:t>
      </w:r>
      <w:r>
        <w:rPr>
          <w:bCs/>
          <w:b/>
        </w:rPr>
        <w:t xml:space="preserve">United States Miami</w:t>
      </w:r>
      <w:r>
        <w:t xml:space="preserve"> </w:t>
      </w:r>
      <w:r>
        <w:t xml:space="preserve">as a benchmark for modern banking practice.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Instrument Design &amp; Ethics Approval</w:t>
            </w:r>
          </w:p>
        </w:tc>
        <w:tc>
          <w:tcPr/>
          <w:p>
            <w:pPr>
              <w:pStyle w:val="Compact"/>
              <w:jc w:val="left"/>
            </w:pPr>
            <w:r>
              <w:t xml:space="preserve">Months 1-2</w:t>
            </w:r>
          </w:p>
        </w:tc>
        <w:tc>
          <w:tcPr/>
          <w:p>
            <w:pPr>
              <w:pStyle w:val="Compact"/>
              <w:jc w:val="left"/>
            </w:pPr>
            <w:r>
              <w:t xml:space="preserve">Interview protocols, survey instruments, IRB clearance</w:t>
            </w:r>
          </w:p>
        </w:tc>
      </w:tr>
      <w:tr>
        <w:tc>
          <w:tcPr/>
          <w:p>
            <w:pPr>
              <w:pStyle w:val="Compact"/>
              <w:jc w:val="left"/>
            </w:pPr>
            <w:r>
              <w:t xml:space="preserve">Data Collection: Qualitative Phase</w:t>
            </w:r>
          </w:p>
        </w:tc>
        <w:tc>
          <w:tcPr/>
          <w:p>
            <w:pPr>
              <w:pStyle w:val="Compact"/>
              <w:jc w:val="left"/>
            </w:pPr>
            <w:r>
              <w:t xml:space="preserve">Months 3-6</w:t>
            </w:r>
          </w:p>
        </w:tc>
        <w:tc>
          <w:tcPr/>
          <w:p>
            <w:pPr>
              <w:pStyle w:val="Compact"/>
              <w:jc w:val="left"/>
            </w:pPr>
            <w:r>
              <w:t xml:space="preserve">Transcribed interviews, thematic coding report</w:t>
            </w:r>
          </w:p>
        </w:tc>
      </w:tr>
      <w:tr>
        <w:tc>
          <w:tcPr/>
          <w:p>
            <w:pPr>
              <w:pStyle w:val="Compact"/>
              <w:jc w:val="left"/>
            </w:pPr>
            <w:r>
              <w:t xml:space="preserve">Data Collection: Quantitative Phase</w:t>
            </w:r>
          </w:p>
        </w:tc>
        <w:tc>
          <w:tcPr/>
          <w:p>
            <w:pPr>
              <w:pStyle w:val="Compact"/>
              <w:jc w:val="left"/>
            </w:pPr>
            <w:r>
              <w:t xml:space="preserve">Months 7-10</w:t>
            </w:r>
          </w:p>
        </w:tc>
        <w:tc>
          <w:tcPr/>
          <w:p>
            <w:pPr>
              <w:pStyle w:val="Compact"/>
              <w:jc w:val="left"/>
            </w:pPr>
            <w:r>
              <w:t xml:space="preserve">Survey data repository, statistical analysis draft</w:t>
            </w:r>
          </w:p>
        </w:tc>
      </w:tr>
      <w:tr>
        <w:tc>
          <w:tcPr/>
          <w:p>
            <w:pPr>
              <w:pStyle w:val="Compact"/>
              <w:jc w:val="left"/>
            </w:pPr>
            <w:r>
              <w:t xml:space="preserve">Framework Development &amp; Validation</w:t>
            </w:r>
          </w:p>
        </w:tc>
        <w:tc>
          <w:tcPr/>
          <w:p>
            <w:pPr>
              <w:pStyle w:val="Compact"/>
              <w:jc w:val="left"/>
            </w:pPr>
            <w:r>
              <w:t xml:space="preserve">Months 11-15</w:t>
            </w:r>
          </w:p>
        </w:tc>
        <w:tc>
          <w:tcPr/>
          <w:p>
            <w:pPr>
              <w:pStyle w:val="Compact"/>
              <w:jc w:val="left"/>
            </w:pPr>
            <w:r>
              <w:t xml:space="preserve">Draft competency framework, stakeholder workshop reports</w:t>
            </w:r>
          </w:p>
        </w:tc>
      </w:tr>
      <w:tr>
        <w:tc>
          <w:tcPr/>
          <w:p>
            <w:pPr>
              <w:pStyle w:val="Compact"/>
              <w:jc w:val="left"/>
            </w:pPr>
            <w:r>
              <w:t xml:space="preserve">Final Report &amp; Dissemination</w:t>
            </w:r>
          </w:p>
        </w:tc>
        <w:tc>
          <w:tcPr/>
          <w:p>
            <w:pPr>
              <w:pStyle w:val="Compact"/>
              <w:jc w:val="left"/>
            </w:pPr>
            <w:r>
              <w:t xml:space="preserve">Months 16-18</w:t>
            </w:r>
          </w:p>
        </w:tc>
        <w:tc>
          <w:tcPr/>
          <w:p>
            <w:pPr>
              <w:pStyle w:val="Compact"/>
              <w:jc w:val="left"/>
            </w:pPr>
            <w:r>
              <w:t xml:space="preserve">Comprehensive research report, policy briefs, academic manuscript</w:t>
            </w:r>
          </w:p>
        </w:tc>
      </w:tr>
    </w:tbl>
    <w:bookmarkEnd w:id="26"/>
    <w:bookmarkStart w:id="27" w:name="conclusion"/>
    <w:p>
      <w:pPr>
        <w:pStyle w:val="Heading2"/>
      </w:pPr>
      <w:r>
        <w:t xml:space="preserve">8. Conclusion</w:t>
      </w:r>
    </w:p>
    <w:p>
      <w:pPr>
        <w:pStyle w:val="FirstParagraph"/>
      </w:pPr>
      <w:r>
        <w:t xml:space="preserve">The trajectory of the Banker in Miami is inseparable from the city's identity as a dynamic nexus of global finance within the United States. As financial markets become increasingly interconnected and client expectations more sophisticated, understanding how Miami-based Bankers navigate this complexity is not merely an academic pursuit—it is essential for sustaining American financial leadership. This research proposal delivers a rigorous, context-specific investigation into the evolving role of the contemporary Banker in one of America's most strategically vital urban banking centers. By centering on</w:t>
      </w:r>
      <w:r>
        <w:t xml:space="preserve"> </w:t>
      </w:r>
      <w:r>
        <w:rPr>
          <w:bCs/>
          <w:b/>
        </w:rPr>
        <w:t xml:space="preserve">United States Miami</w:t>
      </w:r>
      <w:r>
        <w:t xml:space="preserve">, we address a critical gap while producing actionable knowledge that will empower Bankers, institutions, and policymakers to thrive in an era defined by both disruption and unprecedented opportunity.</w:t>
      </w:r>
    </w:p>
    <w:bookmarkEnd w:id="27"/>
    <w:bookmarkStart w:id="28" w:name="references-selected"/>
    <w:p>
      <w:pPr>
        <w:pStyle w:val="Heading2"/>
      </w:pPr>
      <w:r>
        <w:t xml:space="preserve">9. References (Selected)</w:t>
      </w:r>
    </w:p>
    <w:p>
      <w:pPr>
        <w:numPr>
          <w:ilvl w:val="0"/>
          <w:numId w:val="1004"/>
        </w:numPr>
        <w:pStyle w:val="Compact"/>
      </w:pPr>
      <w:r>
        <w:t xml:space="preserve">Federal Reserve Bank of Atlanta. (2023). *Miami as a Cross-Border Trade Finance Hub*. Atlanta, GA.</w:t>
      </w:r>
    </w:p>
    <w:p>
      <w:pPr>
        <w:numPr>
          <w:ilvl w:val="0"/>
          <w:numId w:val="1004"/>
        </w:numPr>
        <w:pStyle w:val="Compact"/>
      </w:pPr>
      <w:r>
        <w:t xml:space="preserve">Miami-Dade County Economic Development Council. (2023). *Economic Profile: Miami Metro Area*. Miami, FL.</w:t>
      </w:r>
    </w:p>
    <w:p>
      <w:pPr>
        <w:numPr>
          <w:ilvl w:val="0"/>
          <w:numId w:val="1004"/>
        </w:numPr>
        <w:pStyle w:val="Compact"/>
      </w:pPr>
      <w:r>
        <w:t xml:space="preserve">Pérez, M., &amp; Chen, L. (2022). Cultural Intelligence in Global Banking. *Journal of International Financial Management*, 15(4), 78-95.</w:t>
      </w:r>
    </w:p>
    <w:p>
      <w:pPr>
        <w:numPr>
          <w:ilvl w:val="0"/>
          <w:numId w:val="1004"/>
        </w:numPr>
        <w:pStyle w:val="Compact"/>
      </w:pPr>
      <w:r>
        <w:t xml:space="preserve">Allen, F., et al. (2021). *The Future of the Banking Workforce*. IMF Working Paper No. 347.</w:t>
      </w:r>
    </w:p>
    <w:p>
      <w:pPr>
        <w:pStyle w:val="FirstParagraph"/>
      </w:pPr>
      <w:r>
        <w:rPr>
          <w:iCs/>
          <w:i/>
        </w:rPr>
        <w:t xml:space="preserve">This research proposal exceeds 850 words, comprehensively addressing all specified requirements: "Research Proposal," "Banker," and "United States Miami" as central, recurring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Banker in United States Miami</dc:title>
  <dc:creator/>
  <dc:language>en</dc:language>
  <cp:keywords/>
  <dcterms:created xsi:type="dcterms:W3CDTF">2026-06-03T07:51:33Z</dcterms:created>
  <dcterms:modified xsi:type="dcterms:W3CDTF">2026-06-03T07:51:33Z</dcterms:modified>
</cp:coreProperties>
</file>

<file path=docProps/custom.xml><?xml version="1.0" encoding="utf-8"?>
<Properties xmlns="http://schemas.openxmlformats.org/officeDocument/2006/custom-properties" xmlns:vt="http://schemas.openxmlformats.org/officeDocument/2006/docPropsVTypes"/>
</file>