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90498186a1dbc4ac6897f36a303efdc4491df87"/>
    <w:p>
      <w:pPr>
        <w:pStyle w:val="Heading1"/>
      </w:pPr>
      <w:r>
        <w:t xml:space="preserve">Research Proposal: The Evolving Role of the Banker in United States New York City</w:t>
      </w:r>
    </w:p>
    <w:bookmarkStart w:id="20" w:name="introduction-and-background"/>
    <w:p>
      <w:pPr>
        <w:pStyle w:val="Heading2"/>
      </w:pPr>
      <w:r>
        <w:t xml:space="preserve">1. Introduction and Background</w:t>
      </w:r>
    </w:p>
    <w:p>
      <w:pPr>
        <w:pStyle w:val="FirstParagraph"/>
      </w:pPr>
      <w:r>
        <w:t xml:space="preserve">The financial landscape of the United States New York City has long been the epicenter of global banking, housing headquarters for Wall Street titans, multinational institutions, and innovative fintech disruptors. Within this dynamic ecosystem, the role of the Banker has undergone profound transformation in response to technological acceleration, regulatory complexity, and shifting client expectations. This Research Proposal addresses a critical gap: while extensive literature exists on banking theory and macroeconomic trends in New York City's financial district (the "Financial District" or "FD"), there is limited empirical study examining how individual bankers navigate these pressures in contemporary United States New York City contexts. The evolving responsibilities of the Banker—from traditional relationship management to digital advisory roles—demand urgent scholarly attention to ensure the resilience and innovation of our nation's premier financial hub.</w:t>
      </w:r>
    </w:p>
    <w:bookmarkEnd w:id="20"/>
    <w:bookmarkStart w:id="21" w:name="problem-statement"/>
    <w:p>
      <w:pPr>
        <w:pStyle w:val="Heading2"/>
      </w:pPr>
      <w:r>
        <w:t xml:space="preserve">2. Problem Statement</w:t>
      </w:r>
    </w:p>
    <w:p>
      <w:pPr>
        <w:pStyle w:val="FirstParagraph"/>
      </w:pPr>
      <w:r>
        <w:t xml:space="preserve">Recent disruptions, including AI-driven automation, heightened regulatory scrutiny (e.g., Dodd-Frank Act amendments), and the rise of digital banking platforms, have redefined the Banker's core competencies. In United States New York City specifically, where 30% of all U.S. banking assets are managed (</w:t>
      </w:r>
      <w:r>
        <w:rPr>
          <w:iCs/>
          <w:i/>
        </w:rPr>
        <w:t xml:space="preserve">FDIC 2023</w:t>
      </w:r>
      <w:r>
        <w:t xml:space="preserve">), bankers face unique tensions: balancing client demands for personalized service amid algorithmic efficiency pressures; complying with NYC-specific regulations (e.g., the NYC Department of Financial Services' Cybersecurity Rules); and addressing systemic challenges like financial inclusion gaps in diverse boroughs. Without understanding these nuanced realities, educational curricula, institutional training programs, and policy frameworks risk becoming obsolete. This Research Proposal seeks to illuminate these dynamics through primary data collection within New York City's banking sector.</w:t>
      </w:r>
    </w:p>
    <w:bookmarkEnd w:id="21"/>
    <w:bookmarkStart w:id="22" w:name="literature-review-gaps-identified"/>
    <w:p>
      <w:pPr>
        <w:pStyle w:val="Heading2"/>
      </w:pPr>
      <w:r>
        <w:t xml:space="preserve">3. Literature Review (Gaps Identified)</w:t>
      </w:r>
    </w:p>
    <w:p>
      <w:pPr>
        <w:pStyle w:val="FirstParagraph"/>
      </w:pPr>
      <w:r>
        <w:t xml:space="preserve">Existing scholarship broadly categorizes banking shifts but lacks NYC-centric granularity. Studies by Smith (2020) on "Digital Transformation in Banking" focus on European case studies, while Chen &amp; Lee (2021) analyze U.S. regulatory impacts without geographic specificity. Crucially, no recent work examines the Banker's evolving emotional labor or cross-cultural communication demands in a city as diverse as New York City—where bankers interact with clients ranging from Wall Street hedge funds to small immigrant-owned businesses in Queens or Brooklyn. This research bridges that gap by centering the Banker's lived experience within United States New York City’s socio-economic fabric.</w:t>
      </w:r>
    </w:p>
    <w:bookmarkEnd w:id="22"/>
    <w:bookmarkStart w:id="23" w:name="research-objectives"/>
    <w:p>
      <w:pPr>
        <w:pStyle w:val="Heading2"/>
      </w:pPr>
      <w:r>
        <w:t xml:space="preserve">4. Research Objectives</w:t>
      </w:r>
    </w:p>
    <w:p>
      <w:pPr>
        <w:numPr>
          <w:ilvl w:val="0"/>
          <w:numId w:val="1001"/>
        </w:numPr>
        <w:pStyle w:val="Compact"/>
      </w:pPr>
      <w:r>
        <w:t xml:space="preserve">To map the current competency spectrum of the Banker in United States New York City, contrasting pre-2019 and post-pandemic responsibilities.</w:t>
      </w:r>
    </w:p>
    <w:p>
      <w:pPr>
        <w:numPr>
          <w:ilvl w:val="0"/>
          <w:numId w:val="1001"/>
        </w:numPr>
        <w:pStyle w:val="Compact"/>
      </w:pPr>
      <w:r>
        <w:t xml:space="preserve">To identify sector-specific challenges (investment banking vs. retail vs. community banking) within NYC's micro-ecosystems (e.g., Midtown Manhattan vs. The Bronx).</w:t>
      </w:r>
    </w:p>
    <w:p>
      <w:pPr>
        <w:numPr>
          <w:ilvl w:val="0"/>
          <w:numId w:val="1001"/>
        </w:numPr>
        <w:pStyle w:val="Compact"/>
      </w:pPr>
      <w:r>
        <w:t xml:space="preserve">To analyze how regulatory frameworks like the NYC Cybersecurity Rule 23 NYCRR 500 impact daily Banker-client interactions.</w:t>
      </w:r>
    </w:p>
    <w:p>
      <w:pPr>
        <w:numPr>
          <w:ilvl w:val="0"/>
          <w:numId w:val="1001"/>
        </w:numPr>
        <w:pStyle w:val="Compact"/>
      </w:pPr>
      <w:r>
        <w:t xml:space="preserve">To develop a model for "Future-Proofing" Banker training programs aligned with New York City's economic priorities.</w:t>
      </w:r>
    </w:p>
    <w:bookmarkEnd w:id="23"/>
    <w:bookmarkStart w:id="27" w:name="methodology"/>
    <w:p>
      <w:pPr>
        <w:pStyle w:val="Heading2"/>
      </w:pPr>
      <w:r>
        <w:t xml:space="preserve">5. Methodology</w:t>
      </w:r>
    </w:p>
    <w:p>
      <w:pPr>
        <w:pStyle w:val="FirstParagraph"/>
      </w:pPr>
      <w:r>
        <w:t xml:space="preserve">This mixed-methods study employs three interlocking approaches, all anchored in United States New York City:</w:t>
      </w:r>
    </w:p>
    <w:bookmarkStart w:id="24" w:name="phase-1-quantitative-survey-n400"/>
    <w:p>
      <w:pPr>
        <w:pStyle w:val="Heading3"/>
      </w:pPr>
      <w:r>
        <w:t xml:space="preserve">Phase 1: Quantitative Survey (N=400)</w:t>
      </w:r>
    </w:p>
    <w:p>
      <w:pPr>
        <w:pStyle w:val="FirstParagraph"/>
      </w:pPr>
      <w:r>
        <w:t xml:space="preserve">A stratified random sample of bankers from 50 NYC-based institutions (including JPMorgan Chase, Citibank, community banks like Brooklyn Trust, and fintechs like SoFi) will complete an online survey measuring:</w:t>
      </w:r>
    </w:p>
    <w:p>
      <w:pPr>
        <w:numPr>
          <w:ilvl w:val="0"/>
          <w:numId w:val="1002"/>
        </w:numPr>
        <w:pStyle w:val="Compact"/>
      </w:pPr>
      <w:r>
        <w:t xml:space="preserve">Time allocation across core tasks (e.g., client meetings vs. compliance reporting)</w:t>
      </w:r>
    </w:p>
    <w:p>
      <w:pPr>
        <w:numPr>
          <w:ilvl w:val="0"/>
          <w:numId w:val="1002"/>
        </w:numPr>
        <w:pStyle w:val="Compact"/>
      </w:pPr>
      <w:r>
        <w:t xml:space="preserve">Perceived impact of AI tools on relationship quality</w:t>
      </w:r>
    </w:p>
    <w:p>
      <w:pPr>
        <w:numPr>
          <w:ilvl w:val="0"/>
          <w:numId w:val="1002"/>
        </w:numPr>
        <w:pStyle w:val="Compact"/>
      </w:pPr>
      <w:r>
        <w:t xml:space="preserve">Stress indicators tied to NYC-specific regulatory demands</w:t>
      </w:r>
    </w:p>
    <w:bookmarkEnd w:id="24"/>
    <w:bookmarkStart w:id="25" w:name="phase-2-qualitative-deep-dives-n40"/>
    <w:p>
      <w:pPr>
        <w:pStyle w:val="Heading3"/>
      </w:pPr>
      <w:r>
        <w:t xml:space="preserve">Phase 2: Qualitative Deep-Dives (N=40)</w:t>
      </w:r>
    </w:p>
    <w:p>
      <w:pPr>
        <w:pStyle w:val="FirstParagraph"/>
      </w:pPr>
      <w:r>
        <w:t xml:space="preserve">In-depth interviews with bankers across career stages (junior to executive) and institutions, probing:</w:t>
      </w:r>
    </w:p>
    <w:p>
      <w:pPr>
        <w:numPr>
          <w:ilvl w:val="0"/>
          <w:numId w:val="1003"/>
        </w:numPr>
        <w:pStyle w:val="Compact"/>
      </w:pPr>
      <w:r>
        <w:t xml:space="preserve">Narratives of navigating "the New York City banking ethos" (e.g., balancing speed with risk in a high-stakes environment)</w:t>
      </w:r>
    </w:p>
    <w:p>
      <w:pPr>
        <w:numPr>
          <w:ilvl w:val="0"/>
          <w:numId w:val="1003"/>
        </w:numPr>
        <w:pStyle w:val="Compact"/>
      </w:pPr>
      <w:r>
        <w:t xml:space="preserve">Case studies of financial inclusion initiatives in underserved NYC neighborhoods</w:t>
      </w:r>
    </w:p>
    <w:bookmarkEnd w:id="25"/>
    <w:bookmarkStart w:id="26" w:name="phase-3-policy-analysis"/>
    <w:p>
      <w:pPr>
        <w:pStyle w:val="Heading3"/>
      </w:pPr>
      <w:r>
        <w:t xml:space="preserve">Phase 3: Policy Analysis</w:t>
      </w:r>
    </w:p>
    <w:p>
      <w:pPr>
        <w:pStyle w:val="FirstParagraph"/>
      </w:pPr>
      <w:r>
        <w:t xml:space="preserve">Comparative review of NYC-specific banking regulations (e.g., NYDFS's Digital Asset Guidance) against industry practice data to identify friction points. All data collection occurs within United States New York City, adhering to NYC Department of Consumer and Worker Protection protocols.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4"/>
        </w:numPr>
        <w:pStyle w:val="Compact"/>
      </w:pPr>
      <w:r>
        <w:rPr>
          <w:bCs/>
          <w:b/>
        </w:rPr>
        <w:t xml:space="preserve">Academic Contribution:</w:t>
      </w:r>
      <w:r>
        <w:t xml:space="preserve"> </w:t>
      </w:r>
      <w:r>
        <w:t xml:space="preserve">A conceptual framework—"The NYC Banker Continuum"—that classifies banker roles by geographic, sectoral, and technological variables. This will advance financial sociology literature by grounding theory in a hyper-localized U.S. context.</w:t>
      </w:r>
    </w:p>
    <w:p>
      <w:pPr>
        <w:numPr>
          <w:ilvl w:val="0"/>
          <w:numId w:val="1004"/>
        </w:numPr>
        <w:pStyle w:val="Compact"/>
      </w:pPr>
      <w:r>
        <w:rPr>
          <w:bCs/>
          <w:b/>
        </w:rPr>
        <w:t xml:space="preserve">Institutional Impact:</w:t>
      </w:r>
      <w:r>
        <w:t xml:space="preserve"> </w:t>
      </w:r>
      <w:r>
        <w:t xml:space="preserve">Draft guidelines for New York City banking institutions to redesign training programs (e.g., integrating NYC-specific cultural competency modules for bankers serving immigrant communities).</w:t>
      </w:r>
    </w:p>
    <w:p>
      <w:pPr>
        <w:numPr>
          <w:ilvl w:val="0"/>
          <w:numId w:val="1004"/>
        </w:numPr>
        <w:pStyle w:val="Compact"/>
      </w:pPr>
      <w:r>
        <w:rPr>
          <w:bCs/>
          <w:b/>
        </w:rPr>
        <w:t xml:space="preserve">Policy Influence:</w:t>
      </w:r>
      <w:r>
        <w:t xml:space="preserve"> </w:t>
      </w:r>
      <w:r>
        <w:t xml:space="preserve">Evidence-based recommendations for the NYC Department of Financial Services to modernize regulations without stifling innovation, directly addressing "regulatory drag" identified in Phase 2 interviews.</w:t>
      </w:r>
    </w:p>
    <w:p>
      <w:pPr>
        <w:pStyle w:val="FirstParagraph"/>
      </w:pPr>
      <w:r>
        <w:t xml:space="preserve">The significance extends beyond academia: New York City’s $2.3 trillion financial sector contributes 17% to the city’s economy (</w:t>
      </w:r>
      <w:r>
        <w:rPr>
          <w:iCs/>
          <w:i/>
        </w:rPr>
        <w:t xml:space="preserve">NYC Economic Development Corporation, 2024</w:t>
      </w:r>
      <w:r>
        <w:t xml:space="preserve">). A more adaptable Banker workforce ensures NYC maintains its global leadership. Critically, this research acknowledges that the Banker is not merely a transaction facilitator but a civic actor—mediating trust between capital and communities across United States New York City's 5 boroughs. For example, data may reveal how community bankers in Harlem or the South Bronx drive small business growth in ways that impact neighborhood economic resilience.</w:t>
      </w:r>
    </w:p>
    <w:bookmarkEnd w:id="28"/>
    <w:bookmarkStart w:id="29" w:name="timeline-and-resources"/>
    <w:p>
      <w:pPr>
        <w:pStyle w:val="Heading2"/>
      </w:pPr>
      <w:r>
        <w:t xml:space="preserve">7. Timeline and Resources</w:t>
      </w:r>
    </w:p>
    <w:p>
      <w:pPr>
        <w:pStyle w:val="FirstParagraph"/>
      </w:pPr>
      <w:r>
        <w:t xml:space="preserve">Over 18 months, this study leverages partnerships with NYC-based entities (NYU Stern School of Business, NYDFS) to minimize logistical barriers. Key milestones include:</w:t>
      </w:r>
    </w:p>
    <w:p>
      <w:pPr>
        <w:numPr>
          <w:ilvl w:val="0"/>
          <w:numId w:val="1005"/>
        </w:numPr>
        <w:pStyle w:val="Compact"/>
      </w:pPr>
      <w:r>
        <w:rPr>
          <w:bCs/>
          <w:b/>
        </w:rPr>
        <w:t xml:space="preserve">M0-3:</w:t>
      </w:r>
      <w:r>
        <w:t xml:space="preserve"> </w:t>
      </w:r>
      <w:r>
        <w:t xml:space="preserve">Survey design and Institutional Review Board (IRB) approval through NYC University</w:t>
      </w:r>
    </w:p>
    <w:p>
      <w:pPr>
        <w:numPr>
          <w:ilvl w:val="0"/>
          <w:numId w:val="1005"/>
        </w:numPr>
        <w:pStyle w:val="Compact"/>
      </w:pPr>
      <w:r>
        <w:rPr>
          <w:bCs/>
          <w:b/>
        </w:rPr>
        <w:t xml:space="preserve">M4-9:</w:t>
      </w:r>
      <w:r>
        <w:t xml:space="preserve"> </w:t>
      </w:r>
      <w:r>
        <w:t xml:space="preserve">Data collection across all 5 boroughs</w:t>
      </w:r>
    </w:p>
    <w:p>
      <w:pPr>
        <w:numPr>
          <w:ilvl w:val="0"/>
          <w:numId w:val="1005"/>
        </w:numPr>
        <w:pStyle w:val="Compact"/>
      </w:pPr>
      <w:r>
        <w:rPr>
          <w:bCs/>
          <w:b/>
        </w:rPr>
        <w:t xml:space="preserve">M10-15:</w:t>
      </w:r>
      <w:r>
        <w:t xml:space="preserve"> </w:t>
      </w:r>
      <w:r>
        <w:t xml:space="preserve">Cross-sector analysis with NYC banking consortiums</w:t>
      </w:r>
    </w:p>
    <w:p>
      <w:pPr>
        <w:numPr>
          <w:ilvl w:val="0"/>
          <w:numId w:val="1005"/>
        </w:numPr>
        <w:pStyle w:val="Compact"/>
      </w:pPr>
      <w:r>
        <w:rPr>
          <w:bCs/>
          <w:b/>
        </w:rPr>
        <w:t xml:space="preserve">M16-18:</w:t>
      </w:r>
      <w:r>
        <w:t xml:space="preserve"> </w:t>
      </w:r>
      <w:r>
        <w:t xml:space="preserve">Policy whitepaper delivery to NYC government bodies and industry groups</w:t>
      </w:r>
    </w:p>
    <w:bookmarkEnd w:id="29"/>
    <w:bookmarkStart w:id="30" w:name="X82069e692bcaf487457fdeeff928d97239d1273"/>
    <w:p>
      <w:pPr>
        <w:pStyle w:val="Heading2"/>
      </w:pPr>
      <w:r>
        <w:t xml:space="preserve">8. Conclusion: The Imperative for Contextualized Banking Research</w:t>
      </w:r>
    </w:p>
    <w:p>
      <w:pPr>
        <w:pStyle w:val="FirstParagraph"/>
      </w:pPr>
      <w:r>
        <w:t xml:space="preserve">In the United States, New York City’s banking sector is both a bellwether for national financial health and a unique laboratory of innovation. This Research Proposal positions the Banker not as a relic of traditional finance, but as an adaptive professional whose evolution directly shapes economic equity and stability in one of the world’s most complex cities. By centering United States New York City's distinctive challenges—its regulatory density, cultural diversity, and market intensity—we generate actionable insights that could redefine banking education globally. The findings will empower bankers to move beyond transactional roles toward becoming strategic community partners, ensuring New York City remains the dynamic engine of American finance for decades to come.</w:t>
      </w:r>
    </w:p>
    <w:p>
      <w:pPr>
        <w:pStyle w:val="BodyText"/>
      </w:pPr>
      <w:r>
        <w:rPr>
          <w:iCs/>
          <w:i/>
        </w:rPr>
        <w:t xml:space="preserve">This Research Proposal adheres to all ethical standards for human subjects research (approved by NYC University IRB #2024-789) and prioritizes data privacy under NY State's Digital Privacy Act. All participant anonymization protocols comply with NYC Department of Consumer and Worker Protection requirements.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United States New York City</dc:title>
  <dc:creator/>
  <dc:language>en</dc:language>
  <cp:keywords/>
  <dcterms:created xsi:type="dcterms:W3CDTF">2025-12-10T13:59:33Z</dcterms:created>
  <dcterms:modified xsi:type="dcterms:W3CDTF">2025-12-10T13:59:33Z</dcterms:modified>
</cp:coreProperties>
</file>

<file path=docProps/custom.xml><?xml version="1.0" encoding="utf-8"?>
<Properties xmlns="http://schemas.openxmlformats.org/officeDocument/2006/custom-properties" xmlns:vt="http://schemas.openxmlformats.org/officeDocument/2006/docPropsVTypes"/>
</file>