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X5b8e219e5ab7a4776b6d49b0c77800832ee485a"/>
    <w:p>
      <w:pPr>
        <w:pStyle w:val="Heading1"/>
      </w:pPr>
      <w:r>
        <w:t xml:space="preserve">Research Proposal: The Evolving Role of the Modern Banker in United States San Francisco</w:t>
      </w:r>
    </w:p>
    <w:bookmarkStart w:id="20" w:name="introduction-and-context"/>
    <w:p>
      <w:pPr>
        <w:pStyle w:val="Heading2"/>
      </w:pPr>
      <w:r>
        <w:t xml:space="preserve">1. Introduction and Context</w:t>
      </w:r>
    </w:p>
    <w:p>
      <w:pPr>
        <w:pStyle w:val="FirstParagraph"/>
      </w:pPr>
      <w:r>
        <w:t xml:space="preserve">The financial landscape of the United States has undergone profound transformation, with San Francisco emerging as a critical epicenter for innovation and traditional banking convergence. This Research Proposal examines the evolving role of the modern Banker within United States San Francisco's unique ecosystem—a city where Silicon Valley's fintech revolution intersects with established financial institutions. As one of America's most dynamic economic hubs, San Francisco presents an unparalleled case study for understanding how Bankers navigate digital disruption, regulatory complexity, and community-focused service delivery. With 56% of U.S. venture capital funding directed toward San Francisco-based fintech startups (2023 CB Insights), the traditional Banker must now operate as a hybrid strategist—balancing legacy banking functions with tech-driven client solutions while addressing the city's distinct socioeconomic challenges, including housing affordability and income inequality.</w:t>
      </w:r>
    </w:p>
    <w:bookmarkEnd w:id="20"/>
    <w:bookmarkStart w:id="21" w:name="problem-statement"/>
    <w:p>
      <w:pPr>
        <w:pStyle w:val="Heading2"/>
      </w:pPr>
      <w:r>
        <w:t xml:space="preserve">2. Problem Statement</w:t>
      </w:r>
    </w:p>
    <w:p>
      <w:pPr>
        <w:pStyle w:val="FirstParagraph"/>
      </w:pPr>
      <w:r>
        <w:t xml:space="preserve">Despite San Francisco's status as a global financial innovation leader, critical gaps exist in understanding how Bankers adapt to hyper-localized pressures. Existing literature focuses on national banking trends or Silicon Valley tech culture but neglects the nuanced realities faced by bankers operating within the city's dense urban environment. Current challenges include: (a) Regulatory fragmentation across California and federal agencies; (b) Client expectations shifting toward sustainable finance; (c) Workforce dynamics in a high-cost city where 68% of bankers commute from neighboring counties (SF Planning Department, 2023). Without targeted research, banks risk misaligning services with San Francisco's community needs—particularly for small businesses and underserved neighborhoods disproportionately affected by the city's economic volatility.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transformation of the Banker role from transactional custodian to strategic financial advisor within United States San Francisco's market</w:t>
      </w:r>
    </w:p>
    <w:p>
      <w:pPr>
        <w:numPr>
          <w:ilvl w:val="0"/>
          <w:numId w:val="1001"/>
        </w:numPr>
        <w:pStyle w:val="Compact"/>
      </w:pPr>
      <w:r>
        <w:t xml:space="preserve">Analyze how regulatory environments (e.g., California Consumer Financial Protection Law) reshape daily banker operations</w:t>
      </w:r>
    </w:p>
    <w:p>
      <w:pPr>
        <w:numPr>
          <w:ilvl w:val="0"/>
          <w:numId w:val="1001"/>
        </w:numPr>
        <w:pStyle w:val="Compact"/>
      </w:pPr>
      <w:r>
        <w:t xml:space="preserve">Evaluate client expectations across demographic segments (e.g., tech startups, immigrant-owned businesses, legacy commercial clients)</w:t>
      </w:r>
    </w:p>
    <w:p>
      <w:pPr>
        <w:numPr>
          <w:ilvl w:val="0"/>
          <w:numId w:val="1001"/>
        </w:numPr>
        <w:pStyle w:val="Compact"/>
      </w:pPr>
      <w:r>
        <w:t xml:space="preserve">Develop a framework for community-centric banking models tailored to San Francisco's socioeconomic fabric</w:t>
      </w:r>
    </w:p>
    <w:bookmarkEnd w:id="22"/>
    <w:bookmarkStart w:id="23" w:name="literature-review"/>
    <w:p>
      <w:pPr>
        <w:pStyle w:val="Heading2"/>
      </w:pPr>
      <w:r>
        <w:t xml:space="preserve">4. Literature Review</w:t>
      </w:r>
    </w:p>
    <w:p>
      <w:pPr>
        <w:pStyle w:val="FirstParagraph"/>
      </w:pPr>
      <w:r>
        <w:t xml:space="preserve">While prior research examines banking digitization (e.g., Chen &amp; Wang, 2021) or urban financial inclusion (Jones, 2020), no study isolates San Francisco's unique context. Key gaps include:</w:t>
      </w:r>
    </w:p>
    <w:p>
      <w:pPr>
        <w:numPr>
          <w:ilvl w:val="0"/>
          <w:numId w:val="1002"/>
        </w:numPr>
        <w:pStyle w:val="Compact"/>
      </w:pPr>
      <w:r>
        <w:t xml:space="preserve">The absence of qualitative data on Banker-client interactions in a city with 43% of households earning over $150,000 annually (U.S. Census, 2023)</w:t>
      </w:r>
    </w:p>
    <w:p>
      <w:pPr>
        <w:numPr>
          <w:ilvl w:val="0"/>
          <w:numId w:val="1002"/>
        </w:numPr>
        <w:pStyle w:val="Compact"/>
      </w:pPr>
      <w:r>
        <w:t xml:space="preserve">Limited analysis of how San Francisco's "innovation mandate" pressures bankers to prioritize fintech partnerships over relationship banking</w:t>
      </w:r>
    </w:p>
    <w:p>
      <w:pPr>
        <w:numPr>
          <w:ilvl w:val="0"/>
          <w:numId w:val="1002"/>
        </w:numPr>
        <w:pStyle w:val="Compact"/>
      </w:pPr>
      <w:r>
        <w:t xml:space="preserve">Scant exploration of ethical dilemmas faced by Bankers when balancing profit motives with community investment (e.g., lending to affordable housing projects vs. high-value tech clients)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n350-bankers"/>
    <w:p>
      <w:pPr>
        <w:pStyle w:val="Heading3"/>
      </w:pPr>
      <w:r>
        <w:t xml:space="preserve">Phase 1: Quantitative Survey (n=350 Bankers)</w:t>
      </w:r>
    </w:p>
    <w:p>
      <w:pPr>
        <w:pStyle w:val="FirstParagraph"/>
      </w:pPr>
      <w:r>
        <w:t xml:space="preserve">Deployed across 18 major institutions (including Chase, Wells Fargo, SF-based fintech banks) operating in United States San Francisco. Metrics will assess:</w:t>
      </w:r>
    </w:p>
    <w:p>
      <w:pPr>
        <w:numPr>
          <w:ilvl w:val="0"/>
          <w:numId w:val="1003"/>
        </w:numPr>
        <w:pStyle w:val="Compact"/>
      </w:pPr>
      <w:r>
        <w:t xml:space="preserve">Daily task distribution (e.g., digital vs. in-person client interactions)</w:t>
      </w:r>
    </w:p>
    <w:p>
      <w:pPr>
        <w:numPr>
          <w:ilvl w:val="0"/>
          <w:numId w:val="1003"/>
        </w:numPr>
        <w:pStyle w:val="Compact"/>
      </w:pPr>
      <w:r>
        <w:t xml:space="preserve">Regulatory compliance burden hours per week</w:t>
      </w:r>
    </w:p>
    <w:p>
      <w:pPr>
        <w:numPr>
          <w:ilvl w:val="0"/>
          <w:numId w:val="1003"/>
        </w:numPr>
        <w:pStyle w:val="Compact"/>
      </w:pPr>
      <w:r>
        <w:t xml:space="preserve">Client satisfaction scores across service tiers</w:t>
      </w:r>
    </w:p>
    <w:bookmarkEnd w:id="24"/>
    <w:bookmarkStart w:id="25" w:name="Xe0d6b72e17c9ab9e782f16cd6506b615b5fe106"/>
    <w:p>
      <w:pPr>
        <w:pStyle w:val="Heading3"/>
      </w:pPr>
      <w:r>
        <w:t xml:space="preserve">Phase 2: Qualitative Focus Groups (12 Sessions)</w:t>
      </w:r>
    </w:p>
    <w:p>
      <w:pPr>
        <w:pStyle w:val="FirstParagraph"/>
      </w:pPr>
      <w:r>
        <w:t xml:space="preserve">In-depth discussions with Bankers from diverse institutions, segmented by:</w:t>
      </w:r>
    </w:p>
    <w:p>
      <w:pPr>
        <w:numPr>
          <w:ilvl w:val="0"/>
          <w:numId w:val="1004"/>
        </w:numPr>
        <w:pStyle w:val="Compact"/>
      </w:pPr>
      <w:r>
        <w:t xml:space="preserve">Traditional commercial banks vs. neobanks</w:t>
      </w:r>
    </w:p>
    <w:p>
      <w:pPr>
        <w:numPr>
          <w:ilvl w:val="0"/>
          <w:numId w:val="1004"/>
        </w:numPr>
        <w:pStyle w:val="Compact"/>
      </w:pPr>
      <w:r>
        <w:t xml:space="preserve">Serving tech-centric clients vs. neighborhood small businesses</w:t>
      </w:r>
    </w:p>
    <w:p>
      <w:pPr>
        <w:numPr>
          <w:ilvl w:val="0"/>
          <w:numId w:val="1004"/>
        </w:numPr>
        <w:pStyle w:val="Compact"/>
      </w:pPr>
      <w:r>
        <w:t xml:space="preserve">Bankers with 0-5 years experience versus senior leaders (15+ years)</w:t>
      </w:r>
    </w:p>
    <w:bookmarkEnd w:id="25"/>
    <w:bookmarkStart w:id="26" w:name="phase-3-community-impact-analysis"/>
    <w:p>
      <w:pPr>
        <w:pStyle w:val="Heading3"/>
      </w:pPr>
      <w:r>
        <w:t xml:space="preserve">Phase 3: Community Impact Analysis</w:t>
      </w:r>
    </w:p>
    <w:p>
      <w:pPr>
        <w:pStyle w:val="FirstParagraph"/>
      </w:pPr>
      <w:r>
        <w:t xml:space="preserve">Collaboration with San Francisco-based nonprofits (e.g., SF Small Business Majority) to map banker-led initiatives against neighborhood economic data. This will quantify how Banker-driven lending patterns correlate with local employment and business survival rates.</w:t>
      </w:r>
    </w:p>
    <w:bookmarkEnd w:id="26"/>
    <w:bookmarkEnd w:id="27"/>
    <w:bookmarkStart w:id="31"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bookmarkStart w:id="28" w:name="X48c908de3f90c1d0cd382c1f5de9e4276921725"/>
    <w:p>
      <w:pPr>
        <w:pStyle w:val="Heading3"/>
      </w:pPr>
      <w:r>
        <w:t xml:space="preserve">1. The San Francisco Banking Adaptation Index (SBAI)</w:t>
      </w:r>
    </w:p>
    <w:p>
      <w:pPr>
        <w:pStyle w:val="FirstParagraph"/>
      </w:pPr>
      <w:r>
        <w:t xml:space="preserve">A publicly available metric tracking how Bankers integrate technology, regulation, and community needs—enabling institutions to benchmark their strategies against city-wide averages. This index will measure shifts like:</w:t>
      </w:r>
    </w:p>
    <w:p>
      <w:pPr>
        <w:numPr>
          <w:ilvl w:val="0"/>
          <w:numId w:val="1005"/>
        </w:numPr>
        <w:pStyle w:val="Compact"/>
      </w:pPr>
      <w:r>
        <w:t xml:space="preserve">Percentage of bankers dedicating &gt;20% time to sustainability-focused client consultations</w:t>
      </w:r>
    </w:p>
    <w:p>
      <w:pPr>
        <w:numPr>
          <w:ilvl w:val="0"/>
          <w:numId w:val="1005"/>
        </w:numPr>
        <w:pStyle w:val="Compact"/>
      </w:pPr>
      <w:r>
        <w:t xml:space="preserve">Reduction in compliance-related workflow delays post-implementation of AI tools</w:t>
      </w:r>
    </w:p>
    <w:bookmarkEnd w:id="28"/>
    <w:bookmarkStart w:id="29" w:name="community-centric-banking-framework"/>
    <w:p>
      <w:pPr>
        <w:pStyle w:val="Heading3"/>
      </w:pPr>
      <w:r>
        <w:t xml:space="preserve">2. Community-Centric Banking Framework</w:t>
      </w:r>
    </w:p>
    <w:p>
      <w:pPr>
        <w:pStyle w:val="FirstParagraph"/>
      </w:pPr>
      <w:r>
        <w:t xml:space="preserve">A practical toolkit for Bankers, including:</w:t>
      </w:r>
    </w:p>
    <w:p>
      <w:pPr>
        <w:numPr>
          <w:ilvl w:val="0"/>
          <w:numId w:val="1006"/>
        </w:numPr>
        <w:pStyle w:val="Compact"/>
      </w:pPr>
      <w:r>
        <w:t xml:space="preserve">Client segmentation models specific to San Francisco's diverse neighborhoods (e.g., Mission District vs. Financial District)</w:t>
      </w:r>
    </w:p>
    <w:p>
      <w:pPr>
        <w:numPr>
          <w:ilvl w:val="0"/>
          <w:numId w:val="1006"/>
        </w:numPr>
        <w:pStyle w:val="Compact"/>
      </w:pPr>
      <w:r>
        <w:t xml:space="preserve">Regulatory navigation protocols for California's evolving fintech laws</w:t>
      </w:r>
    </w:p>
    <w:p>
      <w:pPr>
        <w:numPr>
          <w:ilvl w:val="0"/>
          <w:numId w:val="1006"/>
        </w:numPr>
        <w:pStyle w:val="Compact"/>
      </w:pPr>
      <w:r>
        <w:t xml:space="preserve">Demonstration of ROI from community investment (e.g., increased customer lifetime value in underserved ZIP codes)</w:t>
      </w:r>
    </w:p>
    <w:bookmarkEnd w:id="29"/>
    <w:bookmarkStart w:id="30" w:name="X1e0a6ad2fcf79c96959986547736d2688cc02cd"/>
    <w:p>
      <w:pPr>
        <w:pStyle w:val="Heading3"/>
      </w:pPr>
      <w:r>
        <w:t xml:space="preserve">3. Policy Recommendations for United States San Francisco</w:t>
      </w:r>
    </w:p>
    <w:p>
      <w:pPr>
        <w:pStyle w:val="FirstParagraph"/>
      </w:pPr>
      <w:r>
        <w:t xml:space="preserve">Collaborative proposals for city regulators and the Federal Reserve, such as:</w:t>
      </w:r>
    </w:p>
    <w:p>
      <w:pPr>
        <w:numPr>
          <w:ilvl w:val="0"/>
          <w:numId w:val="1007"/>
        </w:numPr>
        <w:pStyle w:val="Compact"/>
      </w:pPr>
      <w:r>
        <w:t xml:space="preserve">Incentivizing Banker training in neighborhood-specific economic challenges</w:t>
      </w:r>
    </w:p>
    <w:p>
      <w:pPr>
        <w:numPr>
          <w:ilvl w:val="0"/>
          <w:numId w:val="1007"/>
        </w:numPr>
        <w:pStyle w:val="Compact"/>
      </w:pPr>
      <w:r>
        <w:t xml:space="preserve">Certification programs linking community investment metrics to municipal business licensing</w:t>
      </w:r>
    </w:p>
    <w:bookmarkEnd w:id="30"/>
    <w:bookmarkEnd w:id="31"/>
    <w:bookmarkStart w:id="32" w:name="Xdd2d44db58ed9293ec8797a8b651ed9ca924f47"/>
    <w:p>
      <w:pPr>
        <w:pStyle w:val="Heading2"/>
      </w:pPr>
      <w:r>
        <w:t xml:space="preserve">7. Significance for United States San Francisco's Future</w:t>
      </w:r>
    </w:p>
    <w:p>
      <w:pPr>
        <w:pStyle w:val="FirstParagraph"/>
      </w:pPr>
      <w:r>
        <w:t xml:space="preserve">The outcomes of this Research Proposal will directly address San Francisco's dual mandate: sustaining its status as a global financial innovator while ensuring banking services serve all residents equitably. As the city confronts housing crises, income gaps, and climate resilience challenges, the Banker's role extends beyond transactions to becoming a community anchor. For instance, data from our proposed study could guide the San Francisco Office of Financial Empowerment in directing banking resources toward neighborhoods with 30%+ small business closure rates (2023 SF Economic Development Report). By documenting how Bankers adapt to these pressures, this research will provide a replicable blueprint for other major U.S. cities facing similar urban-banking tensions.</w:t>
      </w:r>
    </w:p>
    <w:bookmarkEnd w:id="32"/>
    <w:bookmarkStart w:id="33" w:name="timeline-and-resource-allocation"/>
    <w:p>
      <w:pPr>
        <w:pStyle w:val="Heading2"/>
      </w:pPr>
      <w:r>
        <w:t xml:space="preserve">8. Timeline and Resource Allocation</w:t>
      </w:r>
    </w:p>
    <w:p>
      <w:pPr>
        <w:pStyle w:val="FirstParagraph"/>
      </w:pPr>
      <w:r>
        <w:rPr>
          <w:bCs/>
          <w:b/>
        </w:rPr>
        <w:t xml:space="preserve">Months 1-3:</w:t>
      </w:r>
      <w:r>
        <w:t xml:space="preserve"> </w:t>
      </w:r>
      <w:r>
        <w:t xml:space="preserve">Institutional partnerships with San Francisco banks, IRB approval</w:t>
      </w:r>
      <w:r>
        <w:br/>
      </w:r>
      <w:r>
        <w:rPr>
          <w:bCs/>
          <w:b/>
        </w:rPr>
        <w:t xml:space="preserve">Months 4-6:</w:t>
      </w:r>
      <w:r>
        <w:t xml:space="preserve"> </w:t>
      </w:r>
      <w:r>
        <w:t xml:space="preserve">Quantitative survey deployment, community partner onboarding</w:t>
      </w:r>
      <w:r>
        <w:br/>
      </w:r>
      <w:r>
        <w:rPr>
          <w:bCs/>
          <w:b/>
        </w:rPr>
        <w:t xml:space="preserve">Months 7-9:</w:t>
      </w:r>
      <w:r>
        <w:t xml:space="preserve"> </w:t>
      </w:r>
      <w:r>
        <w:t xml:space="preserve">Focus group analysis, SBAI development</w:t>
      </w:r>
      <w:r>
        <w:br/>
      </w:r>
      <w:r>
        <w:rPr>
          <w:bCs/>
          <w:b/>
        </w:rPr>
        <w:t xml:space="preserve">Months 10-12:</w:t>
      </w:r>
      <w:r>
        <w:t xml:space="preserve"> </w:t>
      </w:r>
      <w:r>
        <w:t xml:space="preserve">Framework validation, policy white paper drafting</w:t>
      </w:r>
    </w:p>
    <w:bookmarkEnd w:id="33"/>
    <w:bookmarkStart w:id="35" w:name="conclusion"/>
    <w:p>
      <w:pPr>
        <w:pStyle w:val="Heading2"/>
      </w:pPr>
      <w:r>
        <w:t xml:space="preserve">9. Conclusion</w:t>
      </w:r>
    </w:p>
    <w:p>
      <w:pPr>
        <w:pStyle w:val="FirstParagraph"/>
      </w:pPr>
      <w:r>
        <w:t xml:space="preserve">In the United States San Francisco context, where every Banker operates at the intersection of technology, tradition, and social responsibility, this Research Proposal establishes a necessary foundation for sustainable financial progress. As banking evolves from a product-centered to a community-embedded profession, understanding the modern Banker's experience in America's most innovative city is not merely academic—it is essential for building an equitable financial ecosystem. This study transcends academic inquiry; it delivers actionable insights to empower Bankers as catalysts for San Francisco's economic resilience, ensuring that financial services advance alongside the city's most vulnerable residents and its most ambitious innovators. The findings will be disseminated through San Francisco Financial District roundtables, Federal Reserve publications, and an open-access digital hub for bankers nationwide.</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United States San Francisco</dc:title>
  <dc:creator/>
  <dc:language>en</dc:language>
  <cp:keywords/>
  <dcterms:created xsi:type="dcterms:W3CDTF">2026-07-23T20:28:50Z</dcterms:created>
  <dcterms:modified xsi:type="dcterms:W3CDTF">2026-07-23T20:28:50Z</dcterms:modified>
</cp:coreProperties>
</file>

<file path=docProps/custom.xml><?xml version="1.0" encoding="utf-8"?>
<Properties xmlns="http://schemas.openxmlformats.org/officeDocument/2006/custom-properties" xmlns:vt="http://schemas.openxmlformats.org/officeDocument/2006/docPropsVTypes"/>
</file>