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Financial</w:t>
      </w:r>
      <w:r>
        <w:t xml:space="preserve"> </w:t>
      </w:r>
      <w:r>
        <w:t xml:space="preserve">Ecosystem</w:t>
      </w:r>
    </w:p>
    <w:bookmarkStart w:id="32" w:name="X56fedbdf9a9b46d7b070549b9aecf44ddfc697d"/>
    <w:p>
      <w:pPr>
        <w:pStyle w:val="Heading1"/>
      </w:pPr>
      <w:r>
        <w:t xml:space="preserve">Research Proposal: The Evolving Role of the Banker in Vietnam Ho Chi Minh City's Financial Ecosystem</w:t>
      </w:r>
    </w:p>
    <w:bookmarkStart w:id="20" w:name="introduction-and-background"/>
    <w:p>
      <w:pPr>
        <w:pStyle w:val="Heading2"/>
      </w:pPr>
      <w:r>
        <w:t xml:space="preserve">1. Introduction and Background</w:t>
      </w:r>
    </w:p>
    <w:p>
      <w:pPr>
        <w:pStyle w:val="FirstParagraph"/>
      </w:pPr>
      <w:r>
        <w:t xml:space="preserve">The financial sector of Vietnam has undergone transformative growth, with Ho Chi Minh City (HCMC) serving as the undisputed economic and financial hub of the nation. As Vietnam’s largest city and primary commercial center, HCMC accounts for over 30% of the country’s GDP and hosts more than 70% of all banking institutions operating in Vietnam. The role of the</w:t>
      </w:r>
      <w:r>
        <w:t xml:space="preserve"> </w:t>
      </w:r>
      <w:r>
        <w:rPr>
          <w:iCs/>
          <w:i/>
        </w:rPr>
        <w:t xml:space="preserve">Banker</w:t>
      </w:r>
      <w:r>
        <w:t xml:space="preserve"> </w:t>
      </w:r>
      <w:r>
        <w:t xml:space="preserve">has evolved significantly within this dynamic environment, shifting from traditional transactional services to strategic advisory roles amid rapid digitalization, regulatory reforms, and increasing financial inclusion demands. This Research Proposal outlines a comprehensive study to investigate how</w:t>
      </w:r>
      <w:r>
        <w:t xml:space="preserve"> </w:t>
      </w:r>
      <w:r>
        <w:rPr>
          <w:iCs/>
          <w:i/>
        </w:rPr>
        <w:t xml:space="preserve">Bankers</w:t>
      </w:r>
      <w:r>
        <w:t xml:space="preserve"> </w:t>
      </w:r>
      <w:r>
        <w:t xml:space="preserve">in Vietnam Ho Chi Minh City are adapting to these changes and their implications for the broader economic development of the region.</w:t>
      </w:r>
    </w:p>
    <w:bookmarkEnd w:id="20"/>
    <w:bookmarkStart w:id="21" w:name="problem-statement"/>
    <w:p>
      <w:pPr>
        <w:pStyle w:val="Heading2"/>
      </w:pPr>
      <w:r>
        <w:t xml:space="preserve">2. Problem Statement</w:t>
      </w:r>
    </w:p>
    <w:p>
      <w:pPr>
        <w:pStyle w:val="FirstParagraph"/>
      </w:pPr>
      <w:r>
        <w:t xml:space="preserve">Despite HCMC’s status as Vietnam’s financial epicenter, critical gaps persist in understanding the contemporary challenges and opportunities facing banking professionals. The rapid adoption of fintech solutions (e.g., mobile banking, AI-driven credit scoring) has created a skills mismatch among traditional</w:t>
      </w:r>
      <w:r>
        <w:t xml:space="preserve"> </w:t>
      </w:r>
      <w:r>
        <w:rPr>
          <w:iCs/>
          <w:i/>
        </w:rPr>
        <w:t xml:space="preserve">Banker</w:t>
      </w:r>
      <w:r>
        <w:t xml:space="preserve"> </w:t>
      </w:r>
      <w:r>
        <w:t xml:space="preserve">personnel. Simultaneously, regulatory pressures from the State Bank of Vietnam (SBV), rising customer expectations for digital services, and competition from non-bank financial players (e.g., GrabPay, MoMo) are reshaping client interactions. Crucially, no current research has holistically assessed how</w:t>
      </w:r>
      <w:r>
        <w:t xml:space="preserve"> </w:t>
      </w:r>
      <w:r>
        <w:rPr>
          <w:iCs/>
          <w:i/>
        </w:rPr>
        <w:t xml:space="preserve">Banker</w:t>
      </w:r>
      <w:r>
        <w:t xml:space="preserve"> </w:t>
      </w:r>
      <w:r>
        <w:t xml:space="preserve">roles in HCMC are being redefined by these forces. This gap impedes effective talent development strategies for banks and undermines Vietnam’s ambition to position HCMC as Southeast Asia’s next major financial center.</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sets required of modern</w:t>
      </w:r>
      <w:r>
        <w:t xml:space="preserve"> </w:t>
      </w:r>
      <w:r>
        <w:rPr>
          <w:iCs/>
          <w:i/>
        </w:rPr>
        <w:t xml:space="preserve">Banker</w:t>
      </w:r>
      <w:r>
        <w:t xml:space="preserve">s in Vietnam Ho Chi Minh City, particularly in digital literacy, data analytics, and customer experience management.</w:t>
      </w:r>
    </w:p>
    <w:p>
      <w:pPr>
        <w:numPr>
          <w:ilvl w:val="0"/>
          <w:numId w:val="1001"/>
        </w:numPr>
        <w:pStyle w:val="Compact"/>
      </w:pPr>
      <w:r>
        <w:t xml:space="preserve">To evaluate how regulatory changes (e.g., SBV’s 2023 Digital Banking Guidelines) impact the daily responsibilities and decision-making processes of</w:t>
      </w:r>
      <w:r>
        <w:t xml:space="preserve"> </w:t>
      </w:r>
      <w:r>
        <w:rPr>
          <w:iCs/>
          <w:i/>
        </w:rPr>
        <w:t xml:space="preserve">Banker</w:t>
      </w:r>
      <w:r>
        <w:t xml:space="preserve">s across HCMC-based institutions.</w:t>
      </w:r>
    </w:p>
    <w:p>
      <w:pPr>
        <w:numPr>
          <w:ilvl w:val="0"/>
          <w:numId w:val="1001"/>
        </w:numPr>
        <w:pStyle w:val="Compact"/>
      </w:pPr>
      <w:r>
        <w:t xml:space="preserve">To assess client expectations in HCMC for personalized, tech-enabled banking services and identify disconnects between these expectations and current</w:t>
      </w:r>
      <w:r>
        <w:t xml:space="preserve"> </w:t>
      </w:r>
      <w:r>
        <w:rPr>
          <w:iCs/>
          <w:i/>
        </w:rPr>
        <w:t xml:space="preserve">Banker</w:t>
      </w:r>
      <w:r>
        <w:t xml:space="preserve"> </w:t>
      </w:r>
      <w:r>
        <w:t xml:space="preserve">capabilities.</w:t>
      </w:r>
    </w:p>
    <w:p>
      <w:pPr>
        <w:numPr>
          <w:ilvl w:val="0"/>
          <w:numId w:val="1001"/>
        </w:numPr>
        <w:pStyle w:val="Compact"/>
      </w:pPr>
      <w:r>
        <w:t xml:space="preserve">To develop actionable recommendations for banking institutions in Vietnam Ho Chi Minh City to future-proof their workforce amid accelerating financial technology adoption.</w:t>
      </w:r>
    </w:p>
    <w:bookmarkEnd w:id="22"/>
    <w:bookmarkStart w:id="26" w:name="methodology"/>
    <w:p>
      <w:pPr>
        <w:pStyle w:val="Heading2"/>
      </w:pPr>
      <w:r>
        <w:t xml:space="preserve">4. Methodology</w:t>
      </w:r>
    </w:p>
    <w:p>
      <w:pPr>
        <w:pStyle w:val="FirstParagraph"/>
      </w:pPr>
      <w:r>
        <w:t xml:space="preserve">This mixed-methods study will employ a three-phase approach, exclusively focused on Vietnam Ho Chi Minh City:</w:t>
      </w:r>
    </w:p>
    <w:bookmarkStart w:id="23" w:name="Xa457c47d53030b0aecbe57dbae3420bb334db4f"/>
    <w:p>
      <w:pPr>
        <w:pStyle w:val="Heading3"/>
      </w:pPr>
      <w:r>
        <w:t xml:space="preserve">Phase 1: Desk Research &amp; Document Analysis (Weeks 1-4)</w:t>
      </w:r>
    </w:p>
    <w:p>
      <w:pPr>
        <w:pStyle w:val="FirstParagraph"/>
      </w:pPr>
      <w:r>
        <w:t xml:space="preserve">Compilation of SBV regulatory documents, HCMC-specific financial sector reports (from the World Bank and Asian Development Bank), and recent industry publications. Focus will be placed on HCMC’s unique market dynamics, including its concentration of multinational banks, local credit institutions (e.g., Techcombank, Vietinbank), and fintech startups.</w:t>
      </w:r>
    </w:p>
    <w:bookmarkEnd w:id="23"/>
    <w:bookmarkStart w:id="24" w:name="phase-2-qualitative-fieldwork-weeks-5-10"/>
    <w:p>
      <w:pPr>
        <w:pStyle w:val="Heading3"/>
      </w:pPr>
      <w:r>
        <w:t xml:space="preserve">Phase 2: Qualitative Fieldwork (Weeks 5-10)</w:t>
      </w:r>
    </w:p>
    <w:p>
      <w:pPr>
        <w:pStyle w:val="FirstParagraph"/>
      </w:pPr>
      <w:r>
        <w:t xml:space="preserve">Semi-structured interviews with 40+ key stakeholders in HCMC’s banking ecosystem, including:</w:t>
      </w:r>
    </w:p>
    <w:p>
      <w:pPr>
        <w:numPr>
          <w:ilvl w:val="0"/>
          <w:numId w:val="1002"/>
        </w:numPr>
        <w:pStyle w:val="Compact"/>
      </w:pPr>
      <w:r>
        <w:t xml:space="preserve">Senior bankers (e.g., relationship managers, digital transformation leads) from top 15 HCMC-based banks</w:t>
      </w:r>
    </w:p>
    <w:p>
      <w:pPr>
        <w:numPr>
          <w:ilvl w:val="0"/>
          <w:numId w:val="1002"/>
        </w:numPr>
        <w:pStyle w:val="Compact"/>
      </w:pPr>
      <w:r>
        <w:t xml:space="preserve">SBV regulators specializing in banking supervision</w:t>
      </w:r>
    </w:p>
    <w:p>
      <w:pPr>
        <w:numPr>
          <w:ilvl w:val="0"/>
          <w:numId w:val="1002"/>
        </w:numPr>
        <w:pStyle w:val="Compact"/>
      </w:pPr>
      <w:r>
        <w:t xml:space="preserve">Fintech executives operating in HCMC</w:t>
      </w:r>
    </w:p>
    <w:bookmarkEnd w:id="24"/>
    <w:bookmarkStart w:id="25" w:name="X5cf14fcdbcc43b1fff0bdc4e6518bdd1a3c8e41"/>
    <w:p>
      <w:pPr>
        <w:pStyle w:val="Heading3"/>
      </w:pPr>
      <w:r>
        <w:t xml:space="preserve">Phase 3: Quantitative Survey &amp; Data Synthesis (Weeks 11-16)</w:t>
      </w:r>
    </w:p>
    <w:p>
      <w:pPr>
        <w:pStyle w:val="FirstParagraph"/>
      </w:pPr>
      <w:r>
        <w:t xml:space="preserve">A structured online survey distributed to 500+ practicing bankers across HCMC, measuring:</w:t>
      </w:r>
    </w:p>
    <w:p>
      <w:pPr>
        <w:numPr>
          <w:ilvl w:val="0"/>
          <w:numId w:val="1003"/>
        </w:numPr>
        <w:pStyle w:val="Compact"/>
      </w:pPr>
      <w:r>
        <w:t xml:space="preserve">Self-assessed proficiency in digital tools (e.g., CRM systems, AI analytics platforms)</w:t>
      </w:r>
    </w:p>
    <w:p>
      <w:pPr>
        <w:numPr>
          <w:ilvl w:val="0"/>
          <w:numId w:val="1003"/>
        </w:numPr>
        <w:pStyle w:val="Compact"/>
      </w:pPr>
      <w:r>
        <w:t xml:space="preserve">Perceived regulatory compliance burdens</w:t>
      </w:r>
    </w:p>
    <w:p>
      <w:pPr>
        <w:numPr>
          <w:ilvl w:val="0"/>
          <w:numId w:val="1003"/>
        </w:numPr>
        <w:pStyle w:val="Compact"/>
      </w:pPr>
      <w:r>
        <w:t xml:space="preserve">Client satisfaction metrics linked to banker interactions</w:t>
      </w:r>
    </w:p>
    <w:bookmarkEnd w:id="25"/>
    <w:bookmarkEnd w:id="26"/>
    <w:bookmarkStart w:id="27" w:name="Xa7885468219d5d13fd1bbc81790aceb952a16a1"/>
    <w:p>
      <w:pPr>
        <w:pStyle w:val="Heading2"/>
      </w:pPr>
      <w:r>
        <w:t xml:space="preserve">5. Significance of the Research for Vietnam Ho Chi Minh City</w:t>
      </w:r>
    </w:p>
    <w:p>
      <w:pPr>
        <w:pStyle w:val="FirstParagraph"/>
      </w:pPr>
      <w:r>
        <w:t xml:space="preserve">This Research Proposal holds exceptional relevance for Vietnam Ho Chi Minh City as it directly addresses priorities outlined in HCMC’s 2030 Strategic Plan, which emphasizes "smart finance" and financial inclusion. The findings will provide empirical evidence to support:</w:t>
      </w:r>
    </w:p>
    <w:p>
      <w:pPr>
        <w:numPr>
          <w:ilvl w:val="0"/>
          <w:numId w:val="1004"/>
        </w:numPr>
        <w:pStyle w:val="Compact"/>
      </w:pPr>
      <w:r>
        <w:rPr>
          <w:bCs/>
          <w:b/>
        </w:rPr>
        <w:t xml:space="preserve">Policy Formulation:</w:t>
      </w:r>
      <w:r>
        <w:t xml:space="preserve"> </w:t>
      </w:r>
      <w:r>
        <w:t xml:space="preserve">SBV and HCMC municipal authorities can tailor training subsidies or regulatory sandboxes for bankers based on identified skill gaps.</w:t>
      </w:r>
    </w:p>
    <w:p>
      <w:pPr>
        <w:numPr>
          <w:ilvl w:val="0"/>
          <w:numId w:val="1004"/>
        </w:numPr>
        <w:pStyle w:val="Compact"/>
      </w:pPr>
      <w:r>
        <w:rPr>
          <w:bCs/>
          <w:b/>
        </w:rPr>
        <w:t xml:space="preserve">Institutional Development:</w:t>
      </w:r>
      <w:r>
        <w:t xml:space="preserve"> </w:t>
      </w:r>
      <w:r>
        <w:t xml:space="preserve">Banks in Vietnam Ho Chi Minh City will gain data-driven insights to redesign job frameworks, compensation models, and continuous learning programs for their</w:t>
      </w:r>
      <w:r>
        <w:t xml:space="preserve"> </w:t>
      </w:r>
      <w:r>
        <w:rPr>
          <w:iCs/>
          <w:i/>
        </w:rPr>
        <w:t xml:space="preserve">Banker</w:t>
      </w:r>
      <w:r>
        <w:t xml:space="preserve"> </w:t>
      </w:r>
      <w:r>
        <w:t xml:space="preserve">workforce.</w:t>
      </w:r>
    </w:p>
    <w:p>
      <w:pPr>
        <w:numPr>
          <w:ilvl w:val="0"/>
          <w:numId w:val="1004"/>
        </w:numPr>
        <w:pStyle w:val="Compact"/>
      </w:pPr>
      <w:r>
        <w:rPr>
          <w:bCs/>
          <w:b/>
        </w:rPr>
        <w:t xml:space="preserve">Economic Competitiveness:</w:t>
      </w:r>
      <w:r>
        <w:t xml:space="preserve"> </w:t>
      </w:r>
      <w:r>
        <w:t xml:space="preserve">By enhancing the capability of HCMC’s banking talent pool, this research strengthens Vietnam’s position in attracting foreign investment and supporting SME growth – critical to HCMC’s economy, where 65% of jobs are tied to the services sector.</w:t>
      </w:r>
    </w:p>
    <w:bookmarkEnd w:id="27"/>
    <w:bookmarkStart w:id="28" w:name="expected-outcomes-and-impact"/>
    <w:p>
      <w:pPr>
        <w:pStyle w:val="Heading2"/>
      </w:pPr>
      <w:r>
        <w:t xml:space="preserve">6. Expected Outcomes and Impact</w:t>
      </w:r>
    </w:p>
    <w:p>
      <w:pPr>
        <w:pStyle w:val="FirstParagraph"/>
      </w:pPr>
      <w:r>
        <w:t xml:space="preserve">The Research Proposal anticipates delivering:</w:t>
      </w:r>
    </w:p>
    <w:p>
      <w:pPr>
        <w:numPr>
          <w:ilvl w:val="0"/>
          <w:numId w:val="1005"/>
        </w:numPr>
        <w:pStyle w:val="Compact"/>
      </w:pPr>
      <w:r>
        <w:t xml:space="preserve">A comprehensive taxonomy of "Future-Ready Banker" competencies tailored for Vietnam Ho Chi Minh City’s market conditions.</w:t>
      </w:r>
    </w:p>
    <w:p>
      <w:pPr>
        <w:numPr>
          <w:ilvl w:val="0"/>
          <w:numId w:val="1005"/>
        </w:numPr>
        <w:pStyle w:val="Compact"/>
      </w:pPr>
      <w:r>
        <w:t xml:space="preserve">A benchmarking report comparing HCMC bankers’ capabilities against regional peers (Singapore, Bangkok) to identify Vietnam's competitive positioning.</w:t>
      </w:r>
    </w:p>
    <w:p>
      <w:pPr>
        <w:numPr>
          <w:ilvl w:val="0"/>
          <w:numId w:val="1005"/>
        </w:numPr>
        <w:pStyle w:val="Compact"/>
      </w:pPr>
      <w:r>
        <w:t xml:space="preserve">Practical toolkits for banking HR departments in HCMC, including training modules and performance metrics aligned with digital transformation goals.</w:t>
      </w:r>
    </w:p>
    <w:bookmarkEnd w:id="28"/>
    <w:bookmarkStart w:id="29" w:name="ethical-considerations"/>
    <w:p>
      <w:pPr>
        <w:pStyle w:val="Heading2"/>
      </w:pPr>
      <w:r>
        <w:t xml:space="preserve">7. Ethical Considerations</w:t>
      </w:r>
    </w:p>
    <w:p>
      <w:pPr>
        <w:pStyle w:val="FirstParagraph"/>
      </w:pPr>
      <w:r>
        <w:t xml:space="preserve">All research involving human subjects will adhere to Vietnam’s National Ethics Guidelines for Social Sciences. Anonymity of participants (particularly bankers from private institutions) will be strictly maintained, with survey data encrypted and stored on secure servers within HCMC. Consent forms in Vietnamese and English will be provided prior to all interviews/surveys.</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Desk Research &amp; Planning</w:t>
            </w:r>
          </w:p>
        </w:tc>
        <w:tc>
          <w:tcPr/>
          <w:p>
            <w:pPr>
              <w:pStyle w:val="Compact"/>
              <w:jc w:val="left"/>
            </w:pPr>
            <w:r>
              <w:t xml:space="preserve">4 weeks (Months 1-2)</w:t>
            </w:r>
          </w:p>
        </w:tc>
        <w:tc>
          <w:tcPr/>
          <w:p>
            <w:pPr>
              <w:pStyle w:val="Compact"/>
              <w:jc w:val="left"/>
            </w:pPr>
            <w:r>
              <w:t xml:space="preserve">Sector report, interview protocols</w:t>
            </w:r>
          </w:p>
        </w:tc>
      </w:tr>
      <w:tr>
        <w:tc>
          <w:tcPr/>
          <w:p>
            <w:pPr>
              <w:pStyle w:val="Compact"/>
              <w:jc w:val="left"/>
            </w:pPr>
            <w:r>
              <w:t xml:space="preserve">Fieldwork: Interviews &amp; Survey Deployment</w:t>
            </w:r>
          </w:p>
        </w:tc>
        <w:tc>
          <w:tcPr/>
          <w:p>
            <w:pPr>
              <w:pStyle w:val="Compact"/>
              <w:jc w:val="left"/>
            </w:pPr>
            <w:r>
              <w:t xml:space="preserve">6 weeks (Months 3-4)</w:t>
            </w:r>
          </w:p>
        </w:tc>
        <w:tc>
          <w:tcPr/>
          <w:p>
            <w:pPr>
              <w:pStyle w:val="Compact"/>
              <w:jc w:val="left"/>
            </w:pPr>
            <w:r>
              <w:t xml:space="preserve">Transcribed interviews, initial survey data</w:t>
            </w:r>
          </w:p>
        </w:tc>
      </w:tr>
      <w:tr>
        <w:tc>
          <w:tcPr/>
          <w:p>
            <w:pPr>
              <w:pStyle w:val="Compact"/>
              <w:jc w:val="left"/>
            </w:pPr>
            <w:r>
              <w:t xml:space="preserve">Data Analysis &amp; Drafting</w:t>
            </w:r>
          </w:p>
        </w:tc>
        <w:tc>
          <w:tcPr/>
          <w:p>
            <w:pPr>
              <w:pStyle w:val="Compact"/>
              <w:jc w:val="left"/>
            </w:pPr>
            <w:r>
              <w:t xml:space="preserve">5 weeks (Months 5-6)</w:t>
            </w:r>
          </w:p>
        </w:tc>
        <w:tc>
          <w:tcPr/>
          <w:p>
            <w:pPr>
              <w:pStyle w:val="Compact"/>
              <w:jc w:val="left"/>
            </w:pPr>
            <w:r>
              <w:t xml:space="preserve">Draft report with findings</w:t>
            </w:r>
          </w:p>
        </w:tc>
      </w:tr>
      <w:tr>
        <w:tc>
          <w:tcPr/>
          <w:p>
            <w:pPr>
              <w:pStyle w:val="Compact"/>
              <w:jc w:val="left"/>
            </w:pPr>
            <w:r>
              <w:t xml:space="preserve">Validation Workshop (HCMC)</w:t>
            </w:r>
          </w:p>
        </w:tc>
        <w:tc>
          <w:tcPr/>
          <w:p>
            <w:pPr>
              <w:pStyle w:val="Compact"/>
              <w:jc w:val="left"/>
            </w:pPr>
            <w:r>
              <w:t xml:space="preserve">2 weeks (Month 7)</w:t>
            </w:r>
          </w:p>
        </w:tc>
        <w:tc>
          <w:tcPr/>
          <w:p>
            <w:pPr>
              <w:pStyle w:val="Compact"/>
              <w:jc w:val="left"/>
            </w:pPr>
            <w:r>
              <w:t xml:space="preserve">Stakeholder feedback integration</w:t>
            </w:r>
          </w:p>
        </w:tc>
      </w:tr>
      <w:tr>
        <w:tc>
          <w:tcPr/>
          <w:p>
            <w:pPr>
              <w:pStyle w:val="Compact"/>
              <w:jc w:val="left"/>
            </w:pPr>
            <w:r>
              <w:t xml:space="preserve">Final Report Submission</w:t>
            </w:r>
          </w:p>
        </w:tc>
        <w:tc>
          <w:tcPr/>
          <w:p>
            <w:pPr>
              <w:pStyle w:val="Compact"/>
              <w:jc w:val="left"/>
            </w:pPr>
            <w:r>
              <w:t xml:space="preserve">1 week (Month 8)</w:t>
            </w:r>
          </w:p>
        </w:tc>
        <w:tc>
          <w:tcPr/>
          <w:p>
            <w:pPr>
              <w:pStyle w:val="Compact"/>
              <w:jc w:val="left"/>
            </w:pPr>
            <w:r>
              <w:t xml:space="preserve">Publishable Research Proposal document</w:t>
            </w:r>
          </w:p>
        </w:tc>
      </w:tr>
    </w:tbl>
    <w:bookmarkEnd w:id="30"/>
    <w:bookmarkStart w:id="31" w:name="Xdc9da966ff8d37c0678a989e6a275b5df82b0eb"/>
    <w:p>
      <w:pPr>
        <w:pStyle w:val="Heading2"/>
      </w:pPr>
      <w:r>
        <w:t xml:space="preserve">9. Conclusion: The Critical Role of the Banker in Vietnam Ho Chi Minh City’s Future</w:t>
      </w:r>
    </w:p>
    <w:p>
      <w:pPr>
        <w:pStyle w:val="FirstParagraph"/>
      </w:pPr>
      <w:r>
        <w:t xml:space="preserve">Vietnam Ho Chi Minh City stands at an inflection point where the competence and adaptability of its banking professionals will determine not only sectoral success but also national economic resilience. This Research Proposal is designed to illuminate the nuanced realities faced by</w:t>
      </w:r>
      <w:r>
        <w:t xml:space="preserve"> </w:t>
      </w:r>
      <w:r>
        <w:rPr>
          <w:iCs/>
          <w:i/>
        </w:rPr>
        <w:t xml:space="preserve">Bankers</w:t>
      </w:r>
      <w:r>
        <w:t xml:space="preserve"> </w:t>
      </w:r>
      <w:r>
        <w:t xml:space="preserve">in HCMC – from navigating regulatory complexity to embracing digital transformation while maintaining client trust. By centering the study on Vietnam Ho Chi Minh City as a microcosm of Southeast Asia’s financial evolution, this research will deliver actionable intelligence for policymakers, banking leaders, and educational institutions. Ultimately, it aims to catalyze a new paradigm where the</w:t>
      </w:r>
      <w:r>
        <w:t xml:space="preserve"> </w:t>
      </w:r>
      <w:r>
        <w:rPr>
          <w:iCs/>
          <w:i/>
        </w:rPr>
        <w:t xml:space="preserve">Banker</w:t>
      </w:r>
      <w:r>
        <w:t xml:space="preserve"> </w:t>
      </w:r>
      <w:r>
        <w:t xml:space="preserve">in Vietnam Ho Chi Minh City transcends transactional roles to become an indispensable architect of inclusive and innovative financial ecosystems.</w:t>
      </w:r>
    </w:p>
    <w:p>
      <w:pPr>
        <w:pStyle w:val="BodyText"/>
      </w:pPr>
      <w:r>
        <w:rPr>
          <w:bCs/>
          <w:b/>
        </w:rPr>
        <w:t xml:space="preserve">Total 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Vietnam Ho Chi Minh City's Financial Ecosystem</dc:title>
  <dc:creator/>
  <dc:language>en</dc:language>
  <cp:keywords/>
  <dcterms:created xsi:type="dcterms:W3CDTF">2026-07-24T09:14:36Z</dcterms:created>
  <dcterms:modified xsi:type="dcterms:W3CDTF">2026-07-24T09:14:36Z</dcterms:modified>
</cp:coreProperties>
</file>

<file path=docProps/custom.xml><?xml version="1.0" encoding="utf-8"?>
<Properties xmlns="http://schemas.openxmlformats.org/officeDocument/2006/custom-properties" xmlns:vt="http://schemas.openxmlformats.org/officeDocument/2006/docPropsVTypes"/>
</file>