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Uzbekistan</w:t>
      </w:r>
      <w:r>
        <w:t xml:space="preserve"> </w:t>
      </w:r>
      <w:r>
        <w:t xml:space="preserve">Tashkent</w:t>
      </w:r>
    </w:p>
    <w:bookmarkStart w:id="32" w:name="X7ccd018ef60cefd475e0f912c622d0ad54779be"/>
    <w:p>
      <w:pPr>
        <w:pStyle w:val="Heading1"/>
      </w:pPr>
      <w:r>
        <w:t xml:space="preserve">Research Proposal: Advancing Ecological Sustainability through Field-Based Biology in Uzbekistan Tashkent</w:t>
      </w:r>
    </w:p>
    <w:bookmarkStart w:id="20" w:name="introduction-and-context"/>
    <w:p>
      <w:pPr>
        <w:pStyle w:val="Heading2"/>
      </w:pPr>
      <w:r>
        <w:t xml:space="preserve">1. Introduction and Context</w:t>
      </w:r>
    </w:p>
    <w:p>
      <w:pPr>
        <w:pStyle w:val="FirstParagraph"/>
      </w:pPr>
      <w:r>
        <w:t xml:space="preserve">The rapidly changing environmental landscape of Central Asia demands urgent scientific attention, particularly in the capital city of Uzbekistan Tashkent where urbanization pressures intersect with critical biodiversity hotspots. This Research Proposal outlines a comprehensive study to address ecological challenges through the expertise of a dedicated Biologist. As Uzbekistan's premier scientific hub, Tashkent presents an ideal laboratory for investigating how urban ecosystems interact with surrounding natural habitats, making this initiative both timely and strategically vital for national sustainability goals.</w:t>
      </w:r>
    </w:p>
    <w:bookmarkEnd w:id="20"/>
    <w:bookmarkStart w:id="21" w:name="problem-statement"/>
    <w:p>
      <w:pPr>
        <w:pStyle w:val="Heading2"/>
      </w:pPr>
      <w:r>
        <w:t xml:space="preserve">2. Problem Statement</w:t>
      </w:r>
    </w:p>
    <w:p>
      <w:pPr>
        <w:pStyle w:val="FirstParagraph"/>
      </w:pPr>
      <w:r>
        <w:t xml:space="preserve">Uzbekistan Tashkent faces accelerating biodiversity loss due to unregulated urban expansion, agricultural runoff, and climate-induced habitat fragmentation. Current conservation efforts lack sufficient field-based biological data, creating a critical gap in evidence-based policymaking. A qualified Biologist must lead this initiative to establish baseline ecological metrics for native species populations across Tashkent's green zones—particularly in the Chilanzar Park complex and the Syr Darya River floodplains. Without immediate intervention, endemic flora like</w:t>
      </w:r>
      <w:r>
        <w:t xml:space="preserve"> </w:t>
      </w:r>
      <w:r>
        <w:rPr>
          <w:iCs/>
          <w:i/>
        </w:rPr>
        <w:t xml:space="preserve">Salsola tragus</w:t>
      </w:r>
      <w:r>
        <w:t xml:space="preserve"> </w:t>
      </w:r>
      <w:r>
        <w:t xml:space="preserve">(Russian thistle) and avian species including the endangered Pallas's fish-eagle face irreversible decline.</w:t>
      </w:r>
    </w:p>
    <w:bookmarkEnd w:id="21"/>
    <w:bookmarkStart w:id="22" w:name="research-objectives"/>
    <w:p>
      <w:pPr>
        <w:pStyle w:val="Heading2"/>
      </w:pPr>
      <w:r>
        <w:t xml:space="preserve">3. Research Objectives</w:t>
      </w:r>
    </w:p>
    <w:p>
      <w:pPr>
        <w:pStyle w:val="FirstParagraph"/>
      </w:pPr>
      <w:r>
        <w:t xml:space="preserve">This Research Proposal defines three core objectives for the Biologist to execute:</w:t>
      </w:r>
    </w:p>
    <w:p>
      <w:pPr>
        <w:numPr>
          <w:ilvl w:val="0"/>
          <w:numId w:val="1001"/>
        </w:numPr>
        <w:pStyle w:val="Compact"/>
      </w:pPr>
      <w:r>
        <w:rPr>
          <w:bCs/>
          <w:b/>
        </w:rPr>
        <w:t xml:space="preserve">Ecosystem Mapping</w:t>
      </w:r>
      <w:r>
        <w:t xml:space="preserve">: Document biodiversity patterns across 15 designated Tashkent sites using GIS-integrated field surveys to identify critical habitat corridors.</w:t>
      </w:r>
    </w:p>
    <w:p>
      <w:pPr>
        <w:numPr>
          <w:ilvl w:val="0"/>
          <w:numId w:val="1001"/>
        </w:numPr>
        <w:pStyle w:val="Compact"/>
      </w:pPr>
      <w:r>
        <w:rPr>
          <w:bCs/>
          <w:b/>
        </w:rPr>
        <w:t xml:space="preserve">Species Vulnerability Assessment</w:t>
      </w:r>
      <w:r>
        <w:t xml:space="preserve">: Evaluate genetic diversity and population health of 8 priority species through non-invasive sampling (fecal DNA, camera traps) under the Biologist's supervision.</w:t>
      </w:r>
    </w:p>
    <w:p>
      <w:pPr>
        <w:numPr>
          <w:ilvl w:val="0"/>
          <w:numId w:val="1001"/>
        </w:numPr>
        <w:pStyle w:val="Compact"/>
      </w:pPr>
      <w:r>
        <w:rPr>
          <w:bCs/>
          <w:b/>
        </w:rPr>
        <w:t xml:space="preserve">Policy Integration Framework</w:t>
      </w:r>
      <w:r>
        <w:t xml:space="preserve">: Develop a data-driven conservation strategy for Uzbekistan's Ministry of Ecology, directly translating field findings into actionable urban planning guidelines.</w:t>
      </w:r>
    </w:p>
    <w:bookmarkEnd w:id="22"/>
    <w:bookmarkStart w:id="26" w:name="X03240867e9ba6a150f1b8bf36441ed96a218ce3"/>
    <w:p>
      <w:pPr>
        <w:pStyle w:val="Heading2"/>
      </w:pPr>
      <w:r>
        <w:t xml:space="preserve">4. Methodology: Field-Based Biological Approach</w:t>
      </w:r>
    </w:p>
    <w:p>
      <w:pPr>
        <w:pStyle w:val="FirstParagraph"/>
      </w:pPr>
      <w:r>
        <w:t xml:space="preserve">The proposed methodology centers on the Biologist implementing a three-phase protocol:</w:t>
      </w:r>
    </w:p>
    <w:bookmarkStart w:id="23" w:name="X4ceaed9bb9162d14e84304f99b7e375ee2463d3"/>
    <w:p>
      <w:pPr>
        <w:pStyle w:val="Heading3"/>
      </w:pPr>
      <w:r>
        <w:t xml:space="preserve">Phase 1: Baseline Data Collection (Months 1-4)</w:t>
      </w:r>
    </w:p>
    <w:p>
      <w:pPr>
        <w:pStyle w:val="FirstParagraph"/>
      </w:pPr>
      <w:r>
        <w:t xml:space="preserve">Using standardized protocols from the IUCN Red List, the Biologist will conduct monthly field surveys across Tashkent's ecological zones. This includes:</w:t>
      </w:r>
    </w:p>
    <w:p>
      <w:pPr>
        <w:numPr>
          <w:ilvl w:val="0"/>
          <w:numId w:val="1002"/>
        </w:numPr>
        <w:pStyle w:val="Compact"/>
      </w:pPr>
      <w:r>
        <w:t xml:space="preserve">Plant species inventory using quadrat sampling in 50m x 50m plots</w:t>
      </w:r>
    </w:p>
    <w:p>
      <w:pPr>
        <w:numPr>
          <w:ilvl w:val="0"/>
          <w:numId w:val="1002"/>
        </w:numPr>
        <w:pStyle w:val="Compact"/>
      </w:pPr>
      <w:r>
        <w:t xml:space="preserve">Avian census via point-count surveys at dawn/dusk</w:t>
      </w:r>
    </w:p>
    <w:p>
      <w:pPr>
        <w:numPr>
          <w:ilvl w:val="0"/>
          <w:numId w:val="1002"/>
        </w:numPr>
        <w:pStyle w:val="Compact"/>
      </w:pPr>
      <w:r>
        <w:t xml:space="preserve">Soil and water quality analysis at Syr Darya tributaries</w:t>
      </w:r>
    </w:p>
    <w:bookmarkEnd w:id="23"/>
    <w:bookmarkStart w:id="24" w:name="phase-2-advanced-analysis-months-5-8"/>
    <w:p>
      <w:pPr>
        <w:pStyle w:val="Heading3"/>
      </w:pPr>
      <w:r>
        <w:t xml:space="preserve">Phase 2: Advanced Analysis (Months 5-8)</w:t>
      </w:r>
    </w:p>
    <w:p>
      <w:pPr>
        <w:pStyle w:val="FirstParagraph"/>
      </w:pPr>
      <w:r>
        <w:t xml:space="preserve">The Biologist will employ molecular techniques to assess genetic diversity in key species. Collaboration with Tashkent State University's Molecular Biology Lab will enable:</w:t>
      </w:r>
    </w:p>
    <w:p>
      <w:pPr>
        <w:numPr>
          <w:ilvl w:val="0"/>
          <w:numId w:val="1003"/>
        </w:numPr>
        <w:pStyle w:val="Compact"/>
      </w:pPr>
      <w:r>
        <w:t xml:space="preserve">Microsatellite analysis of bird populations</w:t>
      </w:r>
    </w:p>
    <w:p>
      <w:pPr>
        <w:numPr>
          <w:ilvl w:val="0"/>
          <w:numId w:val="1003"/>
        </w:numPr>
        <w:pStyle w:val="Compact"/>
      </w:pPr>
      <w:r>
        <w:t xml:space="preserve">Metabarcoding of soil microbiomes from urban versus protected sites</w:t>
      </w:r>
    </w:p>
    <w:bookmarkEnd w:id="24"/>
    <w:bookmarkStart w:id="25" w:name="phase-3-policy-translation-months-9-12"/>
    <w:p>
      <w:pPr>
        <w:pStyle w:val="Heading3"/>
      </w:pPr>
      <w:r>
        <w:t xml:space="preserve">Phase 3: Policy Translation (Months 9-12)</w:t>
      </w:r>
    </w:p>
    <w:p>
      <w:pPr>
        <w:pStyle w:val="FirstParagraph"/>
      </w:pPr>
      <w:r>
        <w:t xml:space="preserve">The Biologist will synthesize findings into the Uzbekistan Tashkent Conservation Action Plan, featuring:</w:t>
      </w:r>
    </w:p>
    <w:p>
      <w:pPr>
        <w:numPr>
          <w:ilvl w:val="0"/>
          <w:numId w:val="1004"/>
        </w:numPr>
        <w:pStyle w:val="Compact"/>
      </w:pPr>
      <w:r>
        <w:t xml:space="preserve">Interactive GIS maps identifying "biodiversity hotspots"</w:t>
      </w:r>
    </w:p>
    <w:p>
      <w:pPr>
        <w:numPr>
          <w:ilvl w:val="0"/>
          <w:numId w:val="1004"/>
        </w:numPr>
        <w:pStyle w:val="Compact"/>
      </w:pPr>
      <w:r>
        <w:t xml:space="preserve">Cost-benefit analysis of green infrastructure investments</w:t>
      </w:r>
    </w:p>
    <w:p>
      <w:pPr>
        <w:numPr>
          <w:ilvl w:val="0"/>
          <w:numId w:val="1004"/>
        </w:numPr>
        <w:pStyle w:val="Compact"/>
      </w:pPr>
      <w:r>
        <w:t xml:space="preserve">Stakeholder workshops with Tashkent City Administration and local communities</w:t>
      </w:r>
    </w:p>
    <w:bookmarkEnd w:id="25"/>
    <w:bookmarkEnd w:id="26"/>
    <w:bookmarkStart w:id="27" w:name="significance-to-uzbekistan-tashkent"/>
    <w:p>
      <w:pPr>
        <w:pStyle w:val="Heading2"/>
      </w:pPr>
      <w:r>
        <w:t xml:space="preserve">5. Significance to Uzbekistan Tashkent</w:t>
      </w:r>
    </w:p>
    <w:p>
      <w:pPr>
        <w:pStyle w:val="FirstParagraph"/>
      </w:pPr>
      <w:r>
        <w:t xml:space="preserve">This Research Proposal delivers transformative value for Uzbekistan Tashkent by:</w:t>
      </w:r>
    </w:p>
    <w:p>
      <w:pPr>
        <w:numPr>
          <w:ilvl w:val="0"/>
          <w:numId w:val="1005"/>
        </w:numPr>
        <w:pStyle w:val="Compact"/>
      </w:pPr>
      <w:r>
        <w:rPr>
          <w:bCs/>
          <w:b/>
        </w:rPr>
        <w:t xml:space="preserve">Addressing National Priorities</w:t>
      </w:r>
      <w:r>
        <w:t xml:space="preserve">: Directly supports the "Green Economy" pillar of Uzbekistan's 2030 Development Strategy, targeting a 15% reduction in urban biodiversity loss by 2035.</w:t>
      </w:r>
    </w:p>
    <w:p>
      <w:pPr>
        <w:numPr>
          <w:ilvl w:val="0"/>
          <w:numId w:val="1005"/>
        </w:numPr>
        <w:pStyle w:val="Compact"/>
      </w:pPr>
      <w:r>
        <w:rPr>
          <w:bCs/>
          <w:b/>
        </w:rPr>
        <w:t xml:space="preserve">Capacity Building</w:t>
      </w:r>
      <w:r>
        <w:t xml:space="preserve">: The Biologist will train 12 local technicians in field biology techniques, establishing Tashkent as Central Asia's regional ecology training center.</w:t>
      </w:r>
    </w:p>
    <w:p>
      <w:pPr>
        <w:numPr>
          <w:ilvl w:val="0"/>
          <w:numId w:val="1005"/>
        </w:numPr>
        <w:pStyle w:val="Compact"/>
      </w:pPr>
      <w:r>
        <w:rPr>
          <w:bCs/>
          <w:b/>
        </w:rPr>
        <w:t xml:space="preserve">Economic Impact</w:t>
      </w:r>
      <w:r>
        <w:t xml:space="preserve">: By quantifying ecosystem services (e.g., flood mitigation from riparian zones), the study provides economic justification for conservation to Tashkent's municipal budget planners.</w:t>
      </w:r>
    </w:p>
    <w:bookmarkEnd w:id="27"/>
    <w:bookmarkStart w:id="28" w:name="expected-outcomes-and-dissemination"/>
    <w:p>
      <w:pPr>
        <w:pStyle w:val="Heading2"/>
      </w:pPr>
      <w:r>
        <w:t xml:space="preserve">6. Expected Outcomes and Dissemination</w:t>
      </w:r>
    </w:p>
    <w:p>
      <w:pPr>
        <w:pStyle w:val="FirstParagraph"/>
      </w:pPr>
      <w:r>
        <w:t xml:space="preserve">The Biologist's work will produce four key deliverables by year-end:</w:t>
      </w:r>
    </w:p>
    <w:p>
      <w:pPr>
        <w:numPr>
          <w:ilvl w:val="0"/>
          <w:numId w:val="1006"/>
        </w:numPr>
        <w:pStyle w:val="Compact"/>
      </w:pPr>
      <w:r>
        <w:rPr>
          <w:iCs/>
          <w:i/>
        </w:rPr>
        <w:t xml:space="preserve">Uzbekistan Tashkent Biodiversity Atlas</w:t>
      </w:r>
      <w:r>
        <w:t xml:space="preserve">: A public-access digital map with species distribution data (to be hosted on the Ministry of Ecology website).</w:t>
      </w:r>
    </w:p>
    <w:p>
      <w:pPr>
        <w:numPr>
          <w:ilvl w:val="0"/>
          <w:numId w:val="1006"/>
        </w:numPr>
        <w:pStyle w:val="Compact"/>
      </w:pPr>
      <w:r>
        <w:rPr>
          <w:iCs/>
          <w:i/>
        </w:rPr>
        <w:t xml:space="preserve">Policy Brief for Tashkent Urban Planning</w:t>
      </w:r>
      <w:r>
        <w:t xml:space="preserve">: Formally submitted to the City Council, proposing 3 conservation-focused zoning amendments.</w:t>
      </w:r>
    </w:p>
    <w:p>
      <w:pPr>
        <w:numPr>
          <w:ilvl w:val="0"/>
          <w:numId w:val="1006"/>
        </w:numPr>
        <w:pStyle w:val="Compact"/>
      </w:pPr>
      <w:r>
        <w:rPr>
          <w:iCs/>
          <w:i/>
        </w:rPr>
        <w:t xml:space="preserve">Peer-Reviewed Publication</w:t>
      </w:r>
      <w:r>
        <w:t xml:space="preserve">: Scheduled for</w:t>
      </w:r>
      <w:r>
        <w:t xml:space="preserve"> </w:t>
      </w:r>
      <w:r>
        <w:rPr>
          <w:iCs/>
          <w:i/>
        </w:rPr>
        <w:t xml:space="preserve">Central Asian Journal of Environmental Science</w:t>
      </w:r>
      <w:r>
        <w:t xml:space="preserve">, with co-authors from Tashkent University and FAO representatives.</w:t>
      </w:r>
    </w:p>
    <w:p>
      <w:pPr>
        <w:numPr>
          <w:ilvl w:val="0"/>
          <w:numId w:val="1006"/>
        </w:numPr>
        <w:pStyle w:val="Compact"/>
      </w:pPr>
      <w:r>
        <w:rPr>
          <w:iCs/>
          <w:i/>
        </w:rPr>
        <w:t xml:space="preserve">Community Engagement Toolkit</w:t>
      </w:r>
      <w:r>
        <w:t xml:space="preserve">: Bilingual (Uzbek/English) educational materials for schools, distributed across Tashkent's 18 districts.</w:t>
      </w:r>
    </w:p>
    <w:bookmarkEnd w:id="28"/>
    <w:bookmarkStart w:id="29" w:name="budget-overview-and-resource-alignment"/>
    <w:p>
      <w:pPr>
        <w:pStyle w:val="Heading2"/>
      </w:pPr>
      <w:r>
        <w:t xml:space="preserve">7. Budget Overview and Resource Alignment</w:t>
      </w:r>
    </w:p>
    <w:p>
      <w:pPr>
        <w:pStyle w:val="FirstParagraph"/>
      </w:pPr>
      <w:r>
        <w:t xml:space="preserve">The proposed budget of $145,000 (USD) leverages existing infrastructure in Uzbekistan Tashkent:</w:t>
      </w:r>
    </w:p>
    <w:p>
      <w:pPr>
        <w:numPr>
          <w:ilvl w:val="0"/>
          <w:numId w:val="1007"/>
        </w:numPr>
        <w:pStyle w:val="Compact"/>
      </w:pPr>
      <w:r>
        <w:t xml:space="preserve">65% for field equipment and laboratory analysis (utilizing Tashkent University's facilities)</w:t>
      </w:r>
    </w:p>
    <w:p>
      <w:pPr>
        <w:numPr>
          <w:ilvl w:val="0"/>
          <w:numId w:val="1007"/>
        </w:numPr>
        <w:pStyle w:val="Compact"/>
      </w:pPr>
      <w:r>
        <w:t xml:space="preserve">25% for Biologist's salary and team training</w:t>
      </w:r>
    </w:p>
    <w:p>
      <w:pPr>
        <w:numPr>
          <w:ilvl w:val="0"/>
          <w:numId w:val="1007"/>
        </w:numPr>
        <w:pStyle w:val="Compact"/>
      </w:pPr>
      <w:r>
        <w:t xml:space="preserve">10% for community engagement activities across Tashkent neighborhoods</w:t>
      </w:r>
    </w:p>
    <w:bookmarkEnd w:id="29"/>
    <w:bookmarkStart w:id="30" w:name="X716a0d1b5d10b3ddf6cbb3d75149ae343c13f93"/>
    <w:p>
      <w:pPr>
        <w:pStyle w:val="Heading2"/>
      </w:pPr>
      <w:r>
        <w:t xml:space="preserve">8. Conclusion: A Call for Ecological Stewardship in Uzbekistan Tashkent</w:t>
      </w:r>
    </w:p>
    <w:p>
      <w:pPr>
        <w:pStyle w:val="FirstParagraph"/>
      </w:pPr>
      <w:r>
        <w:t xml:space="preserve">This Research Proposal represents a pivotal opportunity to position Uzbekistan Tashkent as a leader in urban ecology research. The Biologist's role extends beyond data collection—it is about catalyzing systemic change through science. By grounding conservation in empirical fieldwork, this initiative transforms theoretical environmental commitments into measurable outcomes for Tashkent's 3 million residents and the wider Uzbekistan ecosystem. As the capital city navigates its sustainable development pathway, the Biologist will serve as both scientist and advocate, ensuring that biodiversity conservation becomes central to Tashkent's identity as a "green capital." The success of this Research Proposal will set a replicable model for Central Asia's urban centers, demonstrating how biology can inform resilient city planning in resource-constrained environments.</w:t>
      </w:r>
    </w:p>
    <w:bookmarkEnd w:id="30"/>
    <w:bookmarkStart w:id="31" w:name="institutional-commitment"/>
    <w:p>
      <w:pPr>
        <w:pStyle w:val="Heading2"/>
      </w:pPr>
      <w:r>
        <w:t xml:space="preserve">9. Institutional Commitment</w:t>
      </w:r>
    </w:p>
    <w:p>
      <w:pPr>
        <w:pStyle w:val="FirstParagraph"/>
      </w:pPr>
      <w:r>
        <w:t xml:space="preserve">Tashkent University of Agriculture and the Uzbekistan Academy of Sciences have pledged full institutional support, including lab space, field access permits across Tashkent's municipal zones, and administrative coordination with city environmental departments. This partnership underscores Uzbekistan Tashkent's commitment to prioritizing ecological research as a national imperative.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Uzbekistan Tashkent</dc:title>
  <dc:creator/>
  <dc:language>en</dc:language>
  <cp:keywords/>
  <dcterms:created xsi:type="dcterms:W3CDTF">2026-07-23T09:47:23Z</dcterms:created>
  <dcterms:modified xsi:type="dcterms:W3CDTF">2026-07-23T09:47:23Z</dcterms:modified>
</cp:coreProperties>
</file>

<file path=docProps/custom.xml><?xml version="1.0" encoding="utf-8"?>
<Properties xmlns="http://schemas.openxmlformats.org/officeDocument/2006/custom-properties" xmlns:vt="http://schemas.openxmlformats.org/officeDocument/2006/docPropsVTypes"/>
</file>