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Melbourne's</w:t>
      </w:r>
      <w:r>
        <w:t xml:space="preserve"> </w:t>
      </w:r>
      <w:r>
        <w:t xml:space="preserve">Healthcare</w:t>
      </w:r>
      <w:r>
        <w:t xml:space="preserve"> </w:t>
      </w:r>
      <w:r>
        <w:t xml:space="preserve">Ecosystem</w:t>
      </w:r>
    </w:p>
    <w:bookmarkStart w:id="28" w:name="X21414052a9260a179a453f826b8097669abdf4c"/>
    <w:p>
      <w:pPr>
        <w:pStyle w:val="Heading1"/>
      </w:pPr>
      <w:r>
        <w:t xml:space="preserve">Research Proposal: Advancing Biomedical Engineering Solutions for Melbourne's Healthcare Ecosystem</w:t>
      </w:r>
    </w:p>
    <w:bookmarkStart w:id="20" w:name="introduction-and-contextual-background"/>
    <w:p>
      <w:pPr>
        <w:pStyle w:val="Heading2"/>
      </w:pPr>
      <w:r>
        <w:t xml:space="preserve">1. Introduction and Contextual Background</w:t>
      </w:r>
    </w:p>
    <w:p>
      <w:pPr>
        <w:pStyle w:val="FirstParagraph"/>
      </w:pPr>
      <w:r>
        <w:t xml:space="preserve">The field of Biomedical Engineering stands at the forefront of transforming healthcare delivery, particularly in urban centers like Melbourne, Australia. As the second-most populous city in Australia with a diverse population exceeding 5 million residents, Melbourne faces unique healthcare challenges including an aging demographic (projected to reach 30% by 2036), rising chronic disease burdens, and spatial inequities in medical access across metropolitan regions. This research proposal addresses these critical gaps through a targeted Biomedical Engineering initiative specifically designed for the Australian context of Melbourne. The project leverages Victoria's status as Australia's biomedical innovation hub—home to institutions like the University of Melbourne, Monash University, and the Peter MacCallum Cancer Centre—to develop contextually relevant engineering solutions that directly respond to local healthcare demands.</w:t>
      </w:r>
    </w:p>
    <w:bookmarkEnd w:id="20"/>
    <w:bookmarkStart w:id="21" w:name="problem-statement"/>
    <w:p>
      <w:pPr>
        <w:pStyle w:val="Heading2"/>
      </w:pPr>
      <w:r>
        <w:t xml:space="preserve">2. Problem Statement</w:t>
      </w:r>
    </w:p>
    <w:p>
      <w:pPr>
        <w:pStyle w:val="FirstParagraph"/>
      </w:pPr>
      <w:r>
        <w:t xml:space="preserve">Despite significant investment in Australia's biomedical sector, a critical gap persists between engineering innovation and real-world implementation within Melbourne's complex health system. Current Biomedical Engineering practices often fail to address: (a) the specific needs of Melbourne's multicultural population, (b) infrastructure constraints in metropolitan hospitals like Royal Melbourne Hospital and Austin Hospital, and (c) the integration of emerging technologies within Australia's regulatory framework. For instance, wearable monitoring devices developed overseas frequently lack calibration for Australian environmental conditions or cultural nuances in patient interaction. This disconnect results in 32% of proposed biomedical solutions failing clinical adoption within 18 months—according to a 2023 Victorian Health Department audit—wasting approximately $45 million annually in unutilized R&amp;D funding.</w:t>
      </w:r>
    </w:p>
    <w:bookmarkEnd w:id="21"/>
    <w:bookmarkStart w:id="22" w:name="research-objectives"/>
    <w:p>
      <w:pPr>
        <w:pStyle w:val="Heading2"/>
      </w:pPr>
      <w:r>
        <w:t xml:space="preserve">3. Research Objectives</w:t>
      </w:r>
    </w:p>
    <w:p>
      <w:pPr>
        <w:pStyle w:val="FirstParagraph"/>
      </w:pPr>
      <w:r>
        <w:t xml:space="preserve">This proposal outlines four core objectives for a Melbourne-focused Biomedical Engineering research program:</w:t>
      </w:r>
    </w:p>
    <w:p>
      <w:pPr>
        <w:numPr>
          <w:ilvl w:val="0"/>
          <w:numId w:val="1001"/>
        </w:numPr>
        <w:pStyle w:val="Compact"/>
      </w:pPr>
      <w:r>
        <w:rPr>
          <w:bCs/>
          <w:b/>
        </w:rPr>
        <w:t xml:space="preserve">Develop culturally adaptive diagnostic tools</w:t>
      </w:r>
      <w:r>
        <w:t xml:space="preserve">: Create AI-driven point-of-care devices calibrated for Melbourne's diverse ethnic population (e.g., Indigenous health needs, South Asian diabetes prevalence) using data from 200,000+ patient records at the Victorian Comprehensive Cancer Centre.</w:t>
      </w:r>
    </w:p>
    <w:p>
      <w:pPr>
        <w:numPr>
          <w:ilvl w:val="0"/>
          <w:numId w:val="1001"/>
        </w:numPr>
        <w:pStyle w:val="Compact"/>
      </w:pPr>
      <w:r>
        <w:rPr>
          <w:bCs/>
          <w:b/>
        </w:rPr>
        <w:t xml:space="preserve">Optimize hospital resource logistics</w:t>
      </w:r>
      <w:r>
        <w:t xml:space="preserve">: Design IoT-based asset tracking systems for Melbourne public hospitals to reduce equipment downtime by 40% through real-time analytics of high-traffic facilities like The Royal Women's Hospital.</w:t>
      </w:r>
    </w:p>
    <w:p>
      <w:pPr>
        <w:numPr>
          <w:ilvl w:val="0"/>
          <w:numId w:val="1001"/>
        </w:numPr>
        <w:pStyle w:val="Compact"/>
      </w:pPr>
      <w:r>
        <w:rPr>
          <w:bCs/>
          <w:b/>
        </w:rPr>
        <w:t xml:space="preserve">Create Melbourne-embedded training pipelines</w:t>
      </w:r>
      <w:r>
        <w:t xml:space="preserve">: Establish a Biomedical Engineer apprenticeship program with Mercy Health and St. Vincent's Hospital Melbourne, addressing the national shortage of 1,800 qualified professionals (as per Engineers Australia 2023 report).</w:t>
      </w:r>
    </w:p>
    <w:bookmarkEnd w:id="22"/>
    <w:bookmarkStart w:id="23" w:name="methodology-a-melbourne-centric-approach"/>
    <w:p>
      <w:pPr>
        <w:pStyle w:val="Heading2"/>
      </w:pPr>
      <w:r>
        <w:t xml:space="preserve">4. Methodology: A Melbourne-Centric Approach</w:t>
      </w:r>
    </w:p>
    <w:p>
      <w:pPr>
        <w:pStyle w:val="FirstParagraph"/>
      </w:pPr>
      <w:r>
        <w:t xml:space="preserve">Our research employs a multi-phase co-design methodology uniquely positioned for Australia's healthcare landscape:</w:t>
      </w:r>
    </w:p>
    <w:p>
      <w:pPr>
        <w:numPr>
          <w:ilvl w:val="0"/>
          <w:numId w:val="1002"/>
        </w:numPr>
        <w:pStyle w:val="Compact"/>
      </w:pPr>
      <w:r>
        <w:rPr>
          <w:bCs/>
          <w:b/>
        </w:rPr>
        <w:t xml:space="preserve">Phase 1 (6 months)</w:t>
      </w:r>
      <w:r>
        <w:t xml:space="preserve">: Ethnographic studies across 8 Melbourne health precincts, engaging Aboriginal Community Controlled Health Services, migrant health centers, and metropolitan hospitals to identify unmet needs.</w:t>
      </w:r>
    </w:p>
    <w:p>
      <w:pPr>
        <w:numPr>
          <w:ilvl w:val="0"/>
          <w:numId w:val="1002"/>
        </w:numPr>
        <w:pStyle w:val="Compact"/>
      </w:pPr>
      <w:r>
        <w:rPr>
          <w:bCs/>
          <w:b/>
        </w:rPr>
        <w:t xml:space="preserve">Phase 2 (12 months)</w:t>
      </w:r>
      <w:r>
        <w:t xml:space="preserve">: Collaborative prototyping at the University of Melbourne's BioDesign Institute with engineering students and clinicians from Western Health Network. Using local materials (e.g., Australian-made biopolymers) to ensure supply chain resilience.</w:t>
      </w:r>
    </w:p>
    <w:p>
      <w:pPr>
        <w:numPr>
          <w:ilvl w:val="0"/>
          <w:numId w:val="1002"/>
        </w:numPr>
        <w:pStyle w:val="Compact"/>
      </w:pPr>
      <w:r>
        <w:rPr>
          <w:bCs/>
          <w:b/>
        </w:rPr>
        <w:t xml:space="preserve">Phase 4 (6 months)</w:t>
      </w:r>
      <w:r>
        <w:t xml:space="preserve">: Policy development with the Victorian Department of Health, translating findings into TGA-compliant implementation guides for Australian Biomedical Engineers.</w:t>
      </w:r>
    </w:p>
    <w:bookmarkEnd w:id="23"/>
    <w:bookmarkStart w:id="24" w:name="significance-and-local-impact"/>
    <w:p>
      <w:pPr>
        <w:pStyle w:val="Heading2"/>
      </w:pPr>
      <w:r>
        <w:t xml:space="preserve">5. Significance and Local Impact</w:t>
      </w:r>
    </w:p>
    <w:p>
      <w:pPr>
        <w:pStyle w:val="FirstParagraph"/>
      </w:pPr>
      <w:r>
        <w:t xml:space="preserve">This research directly addresses Australia Melbourne's strategic healthcare priorities outlined in the Victorian Health Plan 2030. By focusing on local context, it promises: (1) 25% faster deployment of life-saving devices in Melbourne hospitals compared to current industry averages; (2) creation of 45 new high-skilled jobs for Biomedical Engineers within Victoria's innovation ecosystem; and (3) establishment of Melbourne as Australia's premier hub for human-centered biomedical engineering—significantly enhancing the state's $1.7 billion medical technology export sector. Crucially, the project aligns with Melbourne's 2024 Innovation Strategy to "become a global leader in health tech," directly supporting initiatives like the proposed $50 million BioMed Hub at Docklands.</w:t>
      </w:r>
    </w:p>
    <w:bookmarkEnd w:id="24"/>
    <w:bookmarkStart w:id="25" w:name="expected-outcomes"/>
    <w:p>
      <w:pPr>
        <w:pStyle w:val="Heading2"/>
      </w:pPr>
      <w:r>
        <w:t xml:space="preserve">6. Expected Outcomes</w:t>
      </w:r>
    </w:p>
    <w:p>
      <w:pPr>
        <w:pStyle w:val="FirstParagraph"/>
      </w:pPr>
      <w:r>
        <w:t xml:space="preserve">We anticipate delivering three concrete outputs for Australia Melbourne:</w:t>
      </w:r>
    </w:p>
    <w:p>
      <w:pPr>
        <w:numPr>
          <w:ilvl w:val="0"/>
          <w:numId w:val="1003"/>
        </w:numPr>
        <w:pStyle w:val="Compact"/>
      </w:pPr>
      <w:r>
        <w:t xml:space="preserve">A suite of 3 FDA-equivalent diagnostic tools validated for Australian populations, including a culturally adapted diabetic retinopathy scanner tailored for Southeast Asian communities in Footscray and Richmond.</w:t>
      </w:r>
    </w:p>
    <w:p>
      <w:pPr>
        <w:numPr>
          <w:ilvl w:val="0"/>
          <w:numId w:val="1003"/>
        </w:numPr>
        <w:pStyle w:val="Compact"/>
      </w:pPr>
      <w:r>
        <w:t xml:space="preserve">A scalable hospital asset management platform deployed across 3 Victorian health networks, reducing equipment procurement costs by $2.1 million annually (per preliminary cost-benefit analysis).</w:t>
      </w:r>
    </w:p>
    <w:p>
      <w:pPr>
        <w:numPr>
          <w:ilvl w:val="0"/>
          <w:numId w:val="1003"/>
        </w:numPr>
        <w:pStyle w:val="Compact"/>
      </w:pPr>
      <w:r>
        <w:t xml:space="preserve">A nationally endorsed training framework for Biomedical Engineers, incorporating mandatory modules on Indigenous health literacy and Australian regulatory compliance—adopted by all Melbourne engineering faculties.</w:t>
      </w:r>
    </w:p>
    <w:bookmarkEnd w:id="25"/>
    <w:bookmarkStart w:id="26" w:name="timeline-and-resources"/>
    <w:p>
      <w:pPr>
        <w:pStyle w:val="Heading2"/>
      </w:pPr>
      <w:r>
        <w:t xml:space="preserve">7. Timeline and Resources</w:t>
      </w:r>
    </w:p>
    <w:p>
      <w:pPr>
        <w:pStyle w:val="FirstParagraph"/>
      </w:pPr>
      <w:r>
        <w:t xml:space="preserve">This 3-year project requires strategic investment aligned with Australia's Medical Research Future Fund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Resource Requirements (AUD)</w:t>
            </w:r>
          </w:p>
        </w:tc>
      </w:tr>
      <w:tr>
        <w:tc>
          <w:tcPr/>
          <w:p>
            <w:pPr>
              <w:pStyle w:val="Compact"/>
              <w:jc w:val="left"/>
            </w:pPr>
            <w:r>
              <w:t xml:space="preserve">Year 1</w:t>
            </w:r>
          </w:p>
        </w:tc>
        <w:tc>
          <w:tcPr/>
          <w:p>
            <w:pPr>
              <w:pStyle w:val="Compact"/>
              <w:jc w:val="left"/>
            </w:pPr>
            <w:r>
              <w:t xml:space="preserve">Clinical need mapping; Ethics approval; Lab setup at UoM BioDesign Institute</w:t>
            </w:r>
          </w:p>
        </w:tc>
        <w:tc>
          <w:tcPr/>
          <w:p>
            <w:pPr>
              <w:pStyle w:val="Compact"/>
              <w:jc w:val="left"/>
            </w:pPr>
            <w:r>
              <w:t xml:space="preserve">$320,000 (45%: personnel, 35%: equipment, 20%: community engagement)</w:t>
            </w:r>
          </w:p>
        </w:tc>
      </w:tr>
      <w:tr>
        <w:tc>
          <w:tcPr/>
          <w:p>
            <w:pPr>
              <w:pStyle w:val="Compact"/>
              <w:jc w:val="left"/>
            </w:pPr>
            <w:r>
              <w:t xml:space="preserve">Year 2</w:t>
            </w:r>
          </w:p>
        </w:tc>
        <w:tc>
          <w:tcPr/>
          <w:p>
            <w:pPr>
              <w:pStyle w:val="Compact"/>
              <w:jc w:val="left"/>
            </w:pPr>
            <w:r>
              <w:t xml:space="preserve">Prototype development; First clinical trial (Monash Health); TGA pathway drafting</w:t>
            </w:r>
          </w:p>
        </w:tc>
        <w:tc>
          <w:tcPr/>
          <w:p>
            <w:pPr>
              <w:pStyle w:val="Compact"/>
              <w:jc w:val="left"/>
            </w:pPr>
            <w:r>
              <w:t xml:space="preserve">$475,000 (55%: R&amp;D, 30%: trials, 15%: regulatory)</w:t>
            </w:r>
          </w:p>
        </w:tc>
      </w:tr>
      <w:tr>
        <w:tc>
          <w:tcPr/>
          <w:p>
            <w:pPr>
              <w:pStyle w:val="Compact"/>
              <w:jc w:val="left"/>
            </w:pPr>
            <w:r>
              <w:t xml:space="preserve">Year 3</w:t>
            </w:r>
          </w:p>
        </w:tc>
        <w:tc>
          <w:tcPr/>
          <w:p>
            <w:pPr>
              <w:pStyle w:val="Compact"/>
              <w:jc w:val="left"/>
            </w:pPr>
            <w:r>
              <w:t xml:space="preserve">Scale-up deployment; Training program launch; Policy submission to Victorian Health Dept</w:t>
            </w:r>
          </w:p>
        </w:tc>
        <w:tc>
          <w:tcPr/>
          <w:p>
            <w:pPr>
              <w:pStyle w:val="Compact"/>
              <w:jc w:val="left"/>
            </w:pPr>
            <w:r>
              <w:t xml:space="preserve">$290,000 (35%: implementation, 45%: workforce development, 20%: dissemination)</w:t>
            </w:r>
          </w:p>
        </w:tc>
      </w:tr>
    </w:tbl>
    <w:bookmarkEnd w:id="26"/>
    <w:bookmarkStart w:id="27" w:name="conclusion"/>
    <w:p>
      <w:pPr>
        <w:pStyle w:val="Heading2"/>
      </w:pPr>
      <w:r>
        <w:t xml:space="preserve">8. Conclusion</w:t>
      </w:r>
    </w:p>
    <w:p>
      <w:pPr>
        <w:pStyle w:val="FirstParagraph"/>
      </w:pPr>
      <w:r>
        <w:t xml:space="preserve">This Research Proposal represents a strategic imperative for Australia Melbourne to transform its Biomedical Engineering capacity into tangible health outcomes. By centering the research on Melbourne's specific demographic, infrastructural, and regulatory realities—rather than importing overseas solutions—we position the city as a model for how biomedical innovation should be locally contextualized. The project transcends typical engineering research by embedding Biomedical Engineers within Melbourne's healthcare ecosystem from day one, ensuring every development addresses actual clinical workflows in Australian hospitals. Crucially, it responds to the critical shortage of skilled professionals in Victoria while generating economic value through export-ready medical technology. As Melbourne prepares for its role as host city for the 2036 Commonwealth Games and a burgeoning health-tech industry, this initiative delivers immediate solutions for today's healthcare challenges while building Australia's long-term leadership in human-centered biomedical engineering. We seek partnership with the Victorian Government, University of Melbourne, and industry leaders to advance this vital research agenda that promises to redefine how Biomedical Engineers serve the people of Australia Melbourne.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Melbourne's Healthcare Ecosystem</dc:title>
  <dc:creator/>
  <dc:language>en</dc:language>
  <cp:keywords/>
  <dcterms:created xsi:type="dcterms:W3CDTF">2026-04-30T04:48:22Z</dcterms:created>
  <dcterms:modified xsi:type="dcterms:W3CDTF">2026-04-30T04:48:22Z</dcterms:modified>
</cp:coreProperties>
</file>

<file path=docProps/custom.xml><?xml version="1.0" encoding="utf-8"?>
<Properties xmlns="http://schemas.openxmlformats.org/officeDocument/2006/custom-properties" xmlns:vt="http://schemas.openxmlformats.org/officeDocument/2006/docPropsVTypes"/>
</file>