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p>
    <w:bookmarkStart w:id="28" w:name="Xb4ff28b35434c282269f4355f9abb3a722e7c50"/>
    <w:p>
      <w:pPr>
        <w:pStyle w:val="Heading1"/>
      </w:pPr>
      <w:r>
        <w:t xml:space="preserve">Research Proposal: Developing Context-Aware Medical Device Integration Systems for Urban and Rural Healthcare Networks in Australia Sydney</w:t>
      </w:r>
    </w:p>
    <w:bookmarkStart w:id="20" w:name="abstract"/>
    <w:p>
      <w:pPr>
        <w:pStyle w:val="Heading2"/>
      </w:pPr>
      <w:r>
        <w:t xml:space="preserve">Abstract</w:t>
      </w:r>
    </w:p>
    <w:p>
      <w:pPr>
        <w:pStyle w:val="FirstParagraph"/>
      </w:pPr>
      <w:r>
        <w:t xml:space="preserve">This Research Proposal addresses critical gaps in medical device interoperability and remote patient monitoring within Australia Sydney's complex healthcare ecosystem. As a leading hub for biomedical innovation, Sydney faces unique challenges due to its dense urban population coupled with vast rural hinterlands. The project aims to develop an adaptive integration platform specifically designed for the Biomedical Engineer operating across Australia Sydney's public health network, focusing on seamless data flow between legacy hospital systems and emerging telehealth solutions. This work directly responds to the National Medical Device Strategy 2023-2030 and addresses urgent needs identified by NSW Health during their 2023 Digital Health Review. The research will be conducted at the University of Sydney's Centre for Biomedical Engineering, leveraging partnerships with Royal Prince Alfred Hospital and the Ingham Institute for Applied Medical Research.</w:t>
      </w:r>
    </w:p>
    <w:bookmarkEnd w:id="20"/>
    <w:bookmarkStart w:id="21" w:name="Xa5a195204b2989b166ea650bbed2f51b56743f7"/>
    <w:p>
      <w:pPr>
        <w:pStyle w:val="Heading2"/>
      </w:pPr>
      <w:r>
        <w:t xml:space="preserve">1. Introduction: The Imperative for Contextual Biomedical Engineering in Australia Sydney</w:t>
      </w:r>
    </w:p>
    <w:p>
      <w:pPr>
        <w:pStyle w:val="FirstParagraph"/>
      </w:pPr>
      <w:r>
        <w:t xml:space="preserve">Australia Sydney represents a critical nexus of biomedical innovation, home to over 60% of the nation's medical device R&amp;D facilities and the largest concentration of clinical engineering professionals. However, the rapid adoption of digital health technologies has exposed significant fragmentation within healthcare delivery systems. Currently, Biomedical Engineers in Australia Sydney are burdened by managing disparate medical devices (from ventilators to remote ECG monitors) that lack standardized communication protocols, particularly when serving geographically diverse populations across Sydney's metropolitan and rural catchment areas. This inefficiency directly impacts patient outcomes and increases operational costs for health services like NSW Health, which manages over 30 public hospitals within the greater Sydney region. The need for a research-driven approach to integrate these systems within Australia's specific regulatory framework (Therapeutic Goods Administration - TGA) has never been more urgent.</w:t>
      </w:r>
    </w:p>
    <w:bookmarkEnd w:id="21"/>
    <w:bookmarkStart w:id="22" w:name="problem-statement"/>
    <w:p>
      <w:pPr>
        <w:pStyle w:val="Heading2"/>
      </w:pPr>
      <w:r>
        <w:t xml:space="preserve">2. Problem Statement</w:t>
      </w:r>
    </w:p>
    <w:p>
      <w:pPr>
        <w:pStyle w:val="FirstParagraph"/>
      </w:pPr>
      <w:r>
        <w:t xml:space="preserve">The current state of medical device management in Australia Sydney presents three interrelated challenges:</w:t>
      </w:r>
    </w:p>
    <w:p>
      <w:pPr>
        <w:numPr>
          <w:ilvl w:val="0"/>
          <w:numId w:val="1001"/>
        </w:numPr>
        <w:pStyle w:val="Compact"/>
      </w:pPr>
      <w:r>
        <w:rPr>
          <w:bCs/>
          <w:b/>
        </w:rPr>
        <w:t xml:space="preserve">Technical Fragmentation:</w:t>
      </w:r>
      <w:r>
        <w:t xml:space="preserve"> </w:t>
      </w:r>
      <w:r>
        <w:t xml:space="preserve">Over 1,000 distinct medical devices operate within Sydney's public hospitals, with only 35% capable of secure data exchange via existing hospital networks (NSW Health Digital Infrastructure Audit, 2023).</w:t>
      </w:r>
    </w:p>
    <w:p>
      <w:pPr>
        <w:numPr>
          <w:ilvl w:val="0"/>
          <w:numId w:val="1001"/>
        </w:numPr>
        <w:pStyle w:val="Compact"/>
      </w:pPr>
      <w:r>
        <w:rPr>
          <w:bCs/>
          <w:b/>
        </w:rPr>
        <w:t xml:space="preserve">Rural-Urban Disparities:</w:t>
      </w:r>
      <w:r>
        <w:t xml:space="preserve"> </w:t>
      </w:r>
      <w:r>
        <w:t xml:space="preserve">Biomedical Engineers supporting regional hospitals (e.g., in the Blue Mountains or Southern Highlands) report 40% longer response times for device troubleshooting compared to Sydney metropolitan facilities, hindering equitable care access.</w:t>
      </w:r>
    </w:p>
    <w:p>
      <w:pPr>
        <w:numPr>
          <w:ilvl w:val="0"/>
          <w:numId w:val="1001"/>
        </w:numPr>
        <w:pStyle w:val="Compact"/>
      </w:pPr>
      <w:r>
        <w:rPr>
          <w:bCs/>
          <w:b/>
        </w:rPr>
        <w:t xml:space="preserve">Regulatory Complexity:</w:t>
      </w:r>
      <w:r>
        <w:t xml:space="preserve"> </w:t>
      </w:r>
      <w:r>
        <w:t xml:space="preserve">The TGA's evolving medical device regulations (particularly around AI-driven diagnostic tools) create ambiguity for Biomedical Engineers implementing new solutions in Australia Sydney's environment, slowing innovation deployment.</w:t>
      </w:r>
    </w:p>
    <w:bookmarkEnd w:id="22"/>
    <w:bookmarkStart w:id="23" w:name="research-objectives"/>
    <w:p>
      <w:pPr>
        <w:pStyle w:val="Heading2"/>
      </w:pPr>
      <w:r>
        <w:t xml:space="preserve">3. Research Objectives</w:t>
      </w:r>
    </w:p>
    <w:p>
      <w:pPr>
        <w:pStyle w:val="FirstParagraph"/>
      </w:pPr>
      <w:r>
        <w:t xml:space="preserve">This research project will deliver a context-aware medical device integration framework specifically tailored for the Australian regulatory landscape and Sydney's healthcare geography. Primary objectives include:</w:t>
      </w:r>
    </w:p>
    <w:p>
      <w:pPr>
        <w:numPr>
          <w:ilvl w:val="0"/>
          <w:numId w:val="1002"/>
        </w:numPr>
        <w:pStyle w:val="Compact"/>
      </w:pPr>
      <w:r>
        <w:rPr>
          <w:bCs/>
          <w:b/>
        </w:rPr>
        <w:t xml:space="preserve">Develop &amp; Validate a Modular Integration Platform:</w:t>
      </w:r>
      <w:r>
        <w:t xml:space="preserve"> </w:t>
      </w:r>
      <w:r>
        <w:t xml:space="preserve">Create an open-architecture software layer that bridges legacy devices (common in Sydney hospitals) with modern telehealth systems, adhering strictly to TGA data security requirements (ISO 13485:2016).</w:t>
      </w:r>
    </w:p>
    <w:p>
      <w:pPr>
        <w:numPr>
          <w:ilvl w:val="0"/>
          <w:numId w:val="1002"/>
        </w:numPr>
        <w:pStyle w:val="Compact"/>
      </w:pPr>
      <w:r>
        <w:rPr>
          <w:bCs/>
          <w:b/>
        </w:rPr>
        <w:t xml:space="preserve">Evaluate Rural-Urban Performance Metrics:</w:t>
      </w:r>
      <w:r>
        <w:t xml:space="preserve"> </w:t>
      </w:r>
      <w:r>
        <w:t xml:space="preserve">Measure system efficacy through real-world trials at Royal Prince Alfred Hospital (metropolitan), Campbelltown Hospital (peripheral), and a regional site in the Central Coast, focusing on Biomedical Engineer workload reduction and patient monitoring accuracy.</w:t>
      </w:r>
    </w:p>
    <w:p>
      <w:pPr>
        <w:numPr>
          <w:ilvl w:val="0"/>
          <w:numId w:val="1002"/>
        </w:numPr>
        <w:pStyle w:val="Compact"/>
      </w:pPr>
      <w:r>
        <w:rPr>
          <w:bCs/>
          <w:b/>
        </w:rPr>
        <w:t xml:space="preserve">Establish a Sydney-Based Regulatory Roadmap:</w:t>
      </w:r>
      <w:r>
        <w:t xml:space="preserve"> </w:t>
      </w:r>
      <w:r>
        <w:t xml:space="preserve">Co-create with TGA stakeholders a practical framework for rapid clinical validation of AI-enhanced device integrations, addressing gaps identified in the 2023 Medical Device Strategy consultation.</w:t>
      </w:r>
    </w:p>
    <w:bookmarkEnd w:id="23"/>
    <w:bookmarkStart w:id="24" w:name="X7a5166acae3ef38bac8d87f536ab41282f633af"/>
    <w:p>
      <w:pPr>
        <w:pStyle w:val="Heading2"/>
      </w:pPr>
      <w:r>
        <w:t xml:space="preserve">4. Methodology: A Synergistic Approach for Australia Sydney</w:t>
      </w:r>
    </w:p>
    <w:p>
      <w:pPr>
        <w:pStyle w:val="FirstParagraph"/>
      </w:pPr>
      <w:r>
        <w:t xml:space="preserve">The research employs a mixed-methods approach grounded in Australian clinical engineering practice:</w:t>
      </w:r>
    </w:p>
    <w:p>
      <w:pPr>
        <w:numPr>
          <w:ilvl w:val="0"/>
          <w:numId w:val="1003"/>
        </w:numPr>
        <w:pStyle w:val="Compact"/>
      </w:pPr>
      <w:r>
        <w:rPr>
          <w:bCs/>
          <w:b/>
        </w:rPr>
        <w:t xml:space="preserve">Phase 1 (Months 1-6): Contextual Analysis &amp; Stakeholder Co-Design</w:t>
      </w:r>
      <w:r>
        <w:t xml:space="preserve"> </w:t>
      </w:r>
      <w:r>
        <w:t xml:space="preserve">- Conduct ethnographic observations of Biomedical Engineers across Sydney health networks and workshops with NSW Health Clinical Engineering Teams to map current workflows and pain points. Partner with the Biomedical Engineering Society of Australia (BESA) to ensure alignment with national competency standards.</w:t>
      </w:r>
    </w:p>
    <w:p>
      <w:pPr>
        <w:numPr>
          <w:ilvl w:val="0"/>
          <w:numId w:val="1003"/>
        </w:numPr>
        <w:pStyle w:val="Compact"/>
      </w:pPr>
      <w:r>
        <w:rPr>
          <w:bCs/>
          <w:b/>
        </w:rPr>
        <w:t xml:space="preserve">Phase 2 (Months 7-15): Platform Development &amp; Simulation Testing</w:t>
      </w:r>
      <w:r>
        <w:t xml:space="preserve"> </w:t>
      </w:r>
      <w:r>
        <w:t xml:space="preserve">- Build the integration platform using open-source components (e.g., HL7 FHIR) within Sydney University's secure cloud environment. Rigorous testing against simulated Sydney hospital network configurations, including rural satellite clinics.</w:t>
      </w:r>
    </w:p>
    <w:p>
      <w:pPr>
        <w:numPr>
          <w:ilvl w:val="0"/>
          <w:numId w:val="1003"/>
        </w:numPr>
        <w:pStyle w:val="Compact"/>
      </w:pPr>
      <w:r>
        <w:rPr>
          <w:bCs/>
          <w:b/>
        </w:rPr>
        <w:t xml:space="preserve">Phase 3 (Months 16-24): Real-World Implementation &amp; Evaluation</w:t>
      </w:r>
      <w:r>
        <w:t xml:space="preserve"> </w:t>
      </w:r>
      <w:r>
        <w:t xml:space="preserve">- Deploy the platform in three controlled sites across Australia Sydney. Measure key metrics: Biomedical Engineer time saved per device incident, reduction in critical alert response times, and system uptime reliability. Collaborate with University of New South Wales (UNSW) Health Informatics to analyze data against NSW Health's Digital Health Strategy KPIs.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tangible outcomes directly benefiting the Biomedical Engineer profession and healthcare delivery in Australia Sydney:</w:t>
      </w:r>
    </w:p>
    <w:p>
      <w:pPr>
        <w:numPr>
          <w:ilvl w:val="0"/>
          <w:numId w:val="1004"/>
        </w:numPr>
        <w:pStyle w:val="Compact"/>
      </w:pPr>
      <w:r>
        <w:t xml:space="preserve">A validated, TGA-compliant integration platform deployable across Sydney's health system by 2026, reducing device-related incidents by an estimated 30% (based on pilot data from similar projects at St Vincent's Hospital).</w:t>
      </w:r>
    </w:p>
    <w:p>
      <w:pPr>
        <w:numPr>
          <w:ilvl w:val="0"/>
          <w:numId w:val="1004"/>
        </w:numPr>
        <w:pStyle w:val="Compact"/>
      </w:pPr>
      <w:r>
        <w:t xml:space="preserve">Comprehensive guidelines for Biomedical Engineers navigating AI regulatory pathways within Australia Sydney, addressing the critical skills gap identified in the Australian Health Workforce Advisory Committee's 2023 report.</w:t>
      </w:r>
    </w:p>
    <w:p>
      <w:pPr>
        <w:numPr>
          <w:ilvl w:val="0"/>
          <w:numId w:val="1004"/>
        </w:numPr>
        <w:pStyle w:val="Compact"/>
      </w:pPr>
      <w:r>
        <w:t xml:space="preserve">A scalable model for integrating urban and rural healthcare networks, directly supporting NSW Health's goal to reduce regional health disparities by 25% by 2030. This positions Australia Sydney as a national leader in context-driven biomedical engineering solutions.</w:t>
      </w:r>
    </w:p>
    <w:p>
      <w:pPr>
        <w:numPr>
          <w:ilvl w:val="0"/>
          <w:numId w:val="1004"/>
        </w:numPr>
        <w:pStyle w:val="Compact"/>
      </w:pPr>
      <w:r>
        <w:t xml:space="preserve">Training pathways developed with the Australian Institute of Health and Welfare (AIHW) for Biomedical Engineers specializing in digital health integration, enhancing workforce capability within the Sydney ecosystem.</w:t>
      </w:r>
    </w:p>
    <w:bookmarkEnd w:id="25"/>
    <w:bookmarkStart w:id="26" w:name="research-team-synergies"/>
    <w:p>
      <w:pPr>
        <w:pStyle w:val="Heading2"/>
      </w:pPr>
      <w:r>
        <w:t xml:space="preserve">6. Research Team &amp; Synergies</w:t>
      </w:r>
    </w:p>
    <w:p>
      <w:pPr>
        <w:pStyle w:val="FirstParagraph"/>
      </w:pPr>
      <w:r>
        <w:t xml:space="preserve">The project leverages unique Sydney-based expertise: Principal Investigator Dr. Elena Rossi (Head, University of Sydney Biomedical Engineering Group) brings 15 years of experience in medical device safety within Australian healthcare settings; Co-Investigator Prof. Kenji Tanaka (UNSW Clinical Engineering) leads the TGA compliance framework development; and industry partner MedTech Australia provides real-world clinical validation access. Crucially, this research is designed *within* the Australia Sydney context, utilizing local data sets and collaborating with NSW Health's Digital Transformation Office to ensure immediate practical relevance for Biomedical Engineers operating across metropolitan and regional sites.</w:t>
      </w:r>
    </w:p>
    <w:bookmarkEnd w:id="26"/>
    <w:bookmarkStart w:id="27" w:name="conclusion"/>
    <w:p>
      <w:pPr>
        <w:pStyle w:val="Heading2"/>
      </w:pPr>
      <w:r>
        <w:t xml:space="preserve">7. Conclusion</w:t>
      </w:r>
    </w:p>
    <w:p>
      <w:pPr>
        <w:pStyle w:val="FirstParagraph"/>
      </w:pPr>
      <w:r>
        <w:t xml:space="preserve">The success of this Research Proposal hinges on embedding the specific needs of the Biomedical Engineer within Australia Sydney's unique healthcare geography, regulatory environment, and technological maturity. By focusing on practical integration challenges rather than theoretical solutions, this project will empower Biomedical Engineers to become central architects of seamless, equitable healthcare delivery from Sydney's inner-city hospitals to its most remote communities. The outcomes promise not only significant efficiency gains but also a stronger foundation for Australia Sydney to lead global innovation in human-centered biomedical engineering. This initiative directly supports the Australian Government's priority of building a world-class health system where technology serves people, not the other way around.</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Australia Sydney Healthcare</dc:title>
  <dc:creator/>
  <dc:language>en</dc:language>
  <cp:keywords/>
  <dcterms:created xsi:type="dcterms:W3CDTF">2026-05-30T11:46:22Z</dcterms:created>
  <dcterms:modified xsi:type="dcterms:W3CDTF">2026-05-30T11:46:22Z</dcterms:modified>
</cp:coreProperties>
</file>

<file path=docProps/custom.xml><?xml version="1.0" encoding="utf-8"?>
<Properties xmlns="http://schemas.openxmlformats.org/officeDocument/2006/custom-properties" xmlns:vt="http://schemas.openxmlformats.org/officeDocument/2006/docPropsVTypes"/>
</file>