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Biomaterials</w:t>
      </w:r>
      <w:r>
        <w:t xml:space="preserve"> </w:t>
      </w:r>
      <w:r>
        <w:t xml:space="preserve">for</w:t>
      </w:r>
      <w:r>
        <w:t xml:space="preserve"> </w:t>
      </w:r>
      <w:r>
        <w:t xml:space="preserve">Regenerative</w:t>
      </w:r>
      <w:r>
        <w:t xml:space="preserve"> </w:t>
      </w:r>
      <w:r>
        <w:t xml:space="preserve">Medicine</w:t>
      </w:r>
      <w:r>
        <w:t xml:space="preserve"> </w:t>
      </w:r>
      <w:r>
        <w:t xml:space="preserve">in</w:t>
      </w:r>
      <w:r>
        <w:t xml:space="preserve"> </w:t>
      </w:r>
      <w:r>
        <w:t xml:space="preserve">Canada</w:t>
      </w:r>
      <w:r>
        <w:t xml:space="preserve"> </w:t>
      </w:r>
      <w:r>
        <w:t xml:space="preserve">Vancouver</w:t>
      </w:r>
    </w:p>
    <w:bookmarkStart w:id="27" w:name="X5282cc43caeddaea957d389fd875dc3dc06f907"/>
    <w:p>
      <w:pPr>
        <w:pStyle w:val="Heading1"/>
      </w:pPr>
      <w:r>
        <w:t xml:space="preserve">Research Proposal: Developing Next-Generation Biomaterials for Personalized Regenerative Therapies in Canada Vancouver</w:t>
      </w:r>
    </w:p>
    <w:bookmarkStart w:id="20" w:name="introduction-and-context"/>
    <w:p>
      <w:pPr>
        <w:pStyle w:val="Heading2"/>
      </w:pPr>
      <w:r>
        <w:t xml:space="preserve">Introduction and Context</w:t>
      </w:r>
    </w:p>
    <w:p>
      <w:pPr>
        <w:pStyle w:val="FirstParagraph"/>
      </w:pPr>
      <w:r>
        <w:t xml:space="preserve">The field of biomedical engineering stands at a pivotal moment in healthcare innovation, with transformative potential to address critical challenges in tissue regeneration and chronic disease management. As a forward-looking research initiative, this proposal outlines a comprehensive study to develop advanced biomaterials for personalized regenerative therapies—specifically tailored to the unique healthcare landscape of Canada Vancouver. Vancouver's position as Canada's biomedical hub, home to institutions like the University of British Columbia (UBC), BC Children's Hospital Research Institute, and global biotech firms, provides an unparalleled ecosystem for this work. This</w:t>
      </w:r>
      <w:r>
        <w:t xml:space="preserve"> </w:t>
      </w:r>
      <w:r>
        <w:rPr>
          <w:bCs/>
          <w:b/>
        </w:rPr>
        <w:t xml:space="preserve">Research Proposal</w:t>
      </w:r>
      <w:r>
        <w:t xml:space="preserve"> </w:t>
      </w:r>
      <w:r>
        <w:t xml:space="preserve">establishes a roadmap for a highly specialized</w:t>
      </w:r>
      <w:r>
        <w:t xml:space="preserve"> </w:t>
      </w:r>
      <w:r>
        <w:rPr>
          <w:bCs/>
          <w:b/>
        </w:rPr>
        <w:t xml:space="preserve">Biomedical Engineer</w:t>
      </w:r>
      <w:r>
        <w:t xml:space="preserve"> </w:t>
      </w:r>
      <w:r>
        <w:t xml:space="preserve">to drive cutting-edge innovation within Canada Vancouver's health technology sector, directly contributing to the region's strategic goal of becoming a North American leader in regenerative medicine.</w:t>
      </w:r>
    </w:p>
    <w:bookmarkEnd w:id="20"/>
    <w:bookmarkStart w:id="21" w:name="problem-statement-and-research-gap"/>
    <w:p>
      <w:pPr>
        <w:pStyle w:val="Heading2"/>
      </w:pPr>
      <w:r>
        <w:t xml:space="preserve">Problem Statement and Research Gap</w:t>
      </w:r>
    </w:p>
    <w:p>
      <w:pPr>
        <w:pStyle w:val="FirstParagraph"/>
      </w:pPr>
      <w:r>
        <w:t xml:space="preserve">Current biomaterials used in clinical applications face significant limitations: poor integration with native tissues, unpredictable immune responses, and inadequate customization for individual patient physiology. In Canada Vancouver, where aging populations and rising chronic conditions (e.g., diabetes-related tissue damage) strain healthcare resources, these shortcomings translate into prolonged recovery times and suboptimal patient outcomes. While global research has made strides in biomaterial design, there remains a critical gap in developing</w:t>
      </w:r>
      <w:r>
        <w:t xml:space="preserve"> </w:t>
      </w:r>
      <w:r>
        <w:rPr>
          <w:iCs/>
          <w:i/>
        </w:rPr>
        <w:t xml:space="preserve">patient-specific</w:t>
      </w:r>
      <w:r>
        <w:t xml:space="preserve"> </w:t>
      </w:r>
      <w:r>
        <w:t xml:space="preserve">scaffolds that dynamically adapt to physiological changes—a solution urgently needed for Vancouver's diverse population with unique genetic and environmental health profiles. This research directly addresses this gap through a systems-driven approach integrating artificial intelligence, 3D bioprinting, and clinical validation within the Canada Vancouver context.</w:t>
      </w:r>
    </w:p>
    <w:bookmarkEnd w:id="21"/>
    <w:bookmarkStart w:id="22" w:name="research-objectives"/>
    <w:p>
      <w:pPr>
        <w:pStyle w:val="Heading2"/>
      </w:pPr>
      <w:r>
        <w:t xml:space="preserve">Research Objectives</w:t>
      </w:r>
    </w:p>
    <w:p>
      <w:pPr>
        <w:pStyle w:val="FirstParagraph"/>
      </w:pPr>
      <w:r>
        <w:t xml:space="preserve">This project will achieve three interdependent objectives:</w:t>
      </w:r>
    </w:p>
    <w:p>
      <w:pPr>
        <w:numPr>
          <w:ilvl w:val="0"/>
          <w:numId w:val="1001"/>
        </w:numPr>
        <w:pStyle w:val="Compact"/>
      </w:pPr>
      <w:r>
        <w:rPr>
          <w:bCs/>
          <w:b/>
        </w:rPr>
        <w:t xml:space="preserve">Develop AI-Optimized Biomaterial Scaffolds:</w:t>
      </w:r>
      <w:r>
        <w:t xml:space="preserve"> </w:t>
      </w:r>
      <w:r>
        <w:t xml:space="preserve">Create a computational framework using machine learning to predict patient-specific biomaterial requirements based on genomic, proteomic, and clinical data from Vancouver's diverse population.</w:t>
      </w:r>
    </w:p>
    <w:p>
      <w:pPr>
        <w:numPr>
          <w:ilvl w:val="0"/>
          <w:numId w:val="1001"/>
        </w:numPr>
        <w:pStyle w:val="Compact"/>
      </w:pPr>
      <w:r>
        <w:rPr>
          <w:bCs/>
          <w:b/>
        </w:rPr>
        <w:t xml:space="preserve">Engineer Smart Hydrogels for Dynamic Tissue Integration:</w:t>
      </w:r>
      <w:r>
        <w:t xml:space="preserve"> </w:t>
      </w:r>
      <w:r>
        <w:t xml:space="preserve">Design biodegradable hydrogels responsive to local tissue microenvironments (e.g., pH, enzyme levels) to guide cell differentiation and vascularization without immunogenic response.</w:t>
      </w:r>
    </w:p>
    <w:p>
      <w:pPr>
        <w:numPr>
          <w:ilvl w:val="0"/>
          <w:numId w:val="1001"/>
        </w:numPr>
        <w:pStyle w:val="Compact"/>
      </w:pPr>
      <w:r>
        <w:rPr>
          <w:bCs/>
          <w:b/>
        </w:rPr>
        <w:t xml:space="preserve">Clinical Validation in Canada Vancouver Healthcare Settings:</w:t>
      </w:r>
      <w:r>
        <w:t xml:space="preserve"> </w:t>
      </w:r>
      <w:r>
        <w:t xml:space="preserve">Partner with BC Children's Hospital and Vancouver General Hospital to test scaffold efficacy in pediatric cartilage repair and diabetic wound healing cohorts—prioritizing underserved communities within Canada Vancouver.</w:t>
      </w:r>
    </w:p>
    <w:bookmarkEnd w:id="22"/>
    <w:bookmarkStart w:id="23" w:name="Xa88707df8c754a7e4b15cd2355b2a3ef9e07aa6"/>
    <w:p>
      <w:pPr>
        <w:pStyle w:val="Heading2"/>
      </w:pPr>
      <w:r>
        <w:t xml:space="preserve">Methodology: Integrating Innovation within Canada Vancouver</w:t>
      </w:r>
    </w:p>
    <w:p>
      <w:pPr>
        <w:pStyle w:val="FirstParagraph"/>
      </w:pPr>
      <w:r>
        <w:t xml:space="preserve">The proposed methodology leverages Vancouver’s unique assets as a research nexus. Phase 1 (Months 1-12) will utilize UBC's Advanced Biomaterials Lab and the newly established Canada-Biohub to gather anonymized patient data from local healthcare networks, ensuring demographic representation of Canada Vancouver’s multicultural population. Phase 2 (Months 13-24) will employ additive manufacturing facilities at the Vancouver Biomedical Accelerator to produce patient-specific scaffolds, with real-time feedback loops involving clinicians from Providence Health Care. Crucially, this work will incorporate Indigenous health principles through collaborative frameworks with First Nations Health Authority—ensuring cultural safety and community-driven design. The</w:t>
      </w:r>
      <w:r>
        <w:t xml:space="preserve"> </w:t>
      </w:r>
      <w:r>
        <w:rPr>
          <w:bCs/>
          <w:b/>
        </w:rPr>
        <w:t xml:space="preserve">Biomedical Engineer</w:t>
      </w:r>
      <w:r>
        <w:t xml:space="preserve"> </w:t>
      </w:r>
      <w:r>
        <w:t xml:space="preserve">leading this initiative will operate within Canada Vancouver’s regulatory ecosystem (Health Canada approval pathways) while adhering to provincial ethical standards under the British Columbia Ministry of Health.</w:t>
      </w:r>
    </w:p>
    <w:bookmarkEnd w:id="23"/>
    <w:bookmarkStart w:id="24" w:name="X3af7881d3c3dd2182c17bcf02b1cd168f94f4b5"/>
    <w:p>
      <w:pPr>
        <w:pStyle w:val="Heading2"/>
      </w:pPr>
      <w:r>
        <w:t xml:space="preserve">Significance: Impact on Canada Vancouver and Beyond</w:t>
      </w:r>
    </w:p>
    <w:p>
      <w:pPr>
        <w:pStyle w:val="FirstParagraph"/>
      </w:pPr>
      <w:r>
        <w:t xml:space="preserve">This research promises transformative impact across multiple dimensions. For healthcare in</w:t>
      </w:r>
      <w:r>
        <w:t xml:space="preserve"> </w:t>
      </w:r>
      <w:r>
        <w:rPr>
          <w:bCs/>
          <w:b/>
        </w:rPr>
        <w:t xml:space="preserve">Canada Vancouver</w:t>
      </w:r>
      <w:r>
        <w:t xml:space="preserve">, it offers a scalable solution to reduce long-term costs associated with chronic wound care (estimated at $5B annually nationwide) through accelerated healing. The project will establish a first-of-its-kind "Regenerative Medicine Data Commons" for Canada, integrating genomic and clinical data while upholding stringent privacy standards under PIPEDA. For the</w:t>
      </w:r>
      <w:r>
        <w:t xml:space="preserve"> </w:t>
      </w:r>
      <w:r>
        <w:rPr>
          <w:bCs/>
          <w:b/>
        </w:rPr>
        <w:t xml:space="preserve">Biomedical Engineer</w:t>
      </w:r>
      <w:r>
        <w:t xml:space="preserve"> </w:t>
      </w:r>
      <w:r>
        <w:t xml:space="preserve">role, this position represents a strategic career path at the intersection of engineering, AI, and precision medicine—directly aligned with British Columbia’s $1B BioHealth Strategy 2030. Furthermore, the project will generate tangible economic value: by partnering with Vancouver-based firms like ProMetic Life Sciences and Tessa Therapeutics, we anticipate creating 5+ high-skilled jobs in Canada Vancouver within three years while attracting federal funding through CIHR and NSERC.</w:t>
      </w:r>
    </w:p>
    <w:bookmarkEnd w:id="24"/>
    <w:bookmarkStart w:id="25" w:name="timeline-and-feasibility"/>
    <w:p>
      <w:pPr>
        <w:pStyle w:val="Heading2"/>
      </w:pPr>
      <w:r>
        <w:t xml:space="preserve">Timeline and Feasibility</w:t>
      </w:r>
    </w:p>
    <w:p>
      <w:pPr>
        <w:pStyle w:val="FirstParagraph"/>
      </w:pPr>
      <w:r>
        <w:t xml:space="preserve">A 36-month timeline ensures rigorous yet pragmatic execution. The first year focuses on data infrastructure (collaborating with Health Infoway to access regional EMR systems), followed by biomaterial design (supported by UBC’s $15M Advanced Manufacturing Centre). Clinical validation in Year 2 will occur within the provincial healthcare network, with regulatory pathway planning for Year 3. Critical to feasibility is Vancouver’s concentration of complementary expertise—UBC's Department of Bioengineering provides the technical foundation, while partners like the Heart and Stroke Foundation Canada offer patient recruitment networks. The proposed budget ($1.8M) includes $600K for equipment at Vancouver’s iHuman Centre, ensuring localization within Canada Vancouver without relying on distant facilities.</w:t>
      </w:r>
    </w:p>
    <w:bookmarkEnd w:id="25"/>
    <w:bookmarkStart w:id="26" w:name="X127bc759fc098c241c83473e1b6ed04672fa1ab"/>
    <w:p>
      <w:pPr>
        <w:pStyle w:val="Heading2"/>
      </w:pPr>
      <w:r>
        <w:t xml:space="preserve">Conclusion: A Strategic Investment for Health Innovation</w:t>
      </w:r>
    </w:p>
    <w:p>
      <w:pPr>
        <w:pStyle w:val="FirstParagraph"/>
      </w:pPr>
      <w:r>
        <w:t xml:space="preserve">This</w:t>
      </w:r>
      <w:r>
        <w:t xml:space="preserve"> </w:t>
      </w:r>
      <w:r>
        <w:rPr>
          <w:bCs/>
          <w:b/>
        </w:rPr>
        <w:t xml:space="preserve">Research Proposal</w:t>
      </w:r>
      <w:r>
        <w:t xml:space="preserve"> </w:t>
      </w:r>
      <w:r>
        <w:t xml:space="preserve">defines a vital mission for the next generation of biomedical engineering in Canada. By positioning the work squarely within</w:t>
      </w:r>
      <w:r>
        <w:t xml:space="preserve"> </w:t>
      </w:r>
      <w:r>
        <w:rPr>
          <w:bCs/>
          <w:b/>
        </w:rPr>
        <w:t xml:space="preserve">Canada Vancouver</w:t>
      </w:r>
      <w:r>
        <w:t xml:space="preserve">, we harness local strengths to solve global challenges, creating a blueprint for patient-centered regenerative medicine that prioritizes equity and accessibility. The role of the</w:t>
      </w:r>
      <w:r>
        <w:t xml:space="preserve"> </w:t>
      </w:r>
      <w:r>
        <w:rPr>
          <w:bCs/>
          <w:b/>
        </w:rPr>
        <w:t xml:space="preserve">Biomedical Engineer</w:t>
      </w:r>
      <w:r>
        <w:t xml:space="preserve"> </w:t>
      </w:r>
      <w:r>
        <w:t xml:space="preserve">transcends technical execution; this individual will become a catalyst for integrating AI-driven design with clinical practice in one of North America’s most dynamic healthcare ecosystems. In doing so, we not only advance scientific knowledge but also strengthen Vancouver’s reputation as a global innovation hub where engineering excellence directly improves community health outcomes. This initiative represents an essential investment in Canada’s future—where biomedical breakthroughs begin at the bench and transform lives right here in Vancouver.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Biomaterials for Regenerative Medicine in Canada Vancouver</dc:title>
  <dc:creator/>
  <dc:language>en</dc:language>
  <cp:keywords/>
  <dcterms:created xsi:type="dcterms:W3CDTF">2026-04-30T09:02:16Z</dcterms:created>
  <dcterms:modified xsi:type="dcterms:W3CDTF">2026-04-30T09:02:16Z</dcterms:modified>
</cp:coreProperties>
</file>

<file path=docProps/custom.xml><?xml version="1.0" encoding="utf-8"?>
<Properties xmlns="http://schemas.openxmlformats.org/officeDocument/2006/custom-properties" xmlns:vt="http://schemas.openxmlformats.org/officeDocument/2006/docPropsVTypes"/>
</file>