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Berlin</w:t>
      </w:r>
    </w:p>
    <w:bookmarkStart w:id="32" w:name="X39bb5f931127acd8480312cd881d34108f96bf0"/>
    <w:p>
      <w:pPr>
        <w:pStyle w:val="Heading1"/>
      </w:pPr>
      <w:r>
        <w:t xml:space="preserve">Research Proposal: Development of Next-Generation Implantable Sensors for Neurological Disorder Management in Germany Berlin</w:t>
      </w:r>
    </w:p>
    <w:bookmarkStart w:id="20" w:name="introduction"/>
    <w:p>
      <w:pPr>
        <w:pStyle w:val="Heading2"/>
      </w:pPr>
      <w:r>
        <w:t xml:space="preserve">Introduction</w:t>
      </w:r>
    </w:p>
    <w:p>
      <w:pPr>
        <w:pStyle w:val="FirstParagraph"/>
      </w:pPr>
      <w:r>
        <w:t xml:space="preserve">The field of biomedical engineering stands at the forefront of healthcare innovation, merging engineering principles with medical science to develop life-changing technologies. In</w:t>
      </w:r>
      <w:r>
        <w:t xml:space="preserve"> </w:t>
      </w:r>
      <w:r>
        <w:rPr>
          <w:bCs/>
          <w:b/>
        </w:rPr>
        <w:t xml:space="preserve">Germany Berlin</w:t>
      </w:r>
      <w:r>
        <w:t xml:space="preserve">, a global hub for scientific advancement and healthcare excellence, this discipline holds extraordinary potential to address critical unmet needs in neurological care. As a dedicated</w:t>
      </w:r>
      <w:r>
        <w:t xml:space="preserve"> </w:t>
      </w:r>
      <w:r>
        <w:rPr>
          <w:bCs/>
          <w:b/>
        </w:rPr>
        <w:t xml:space="preserve">Biomedical Engineer</w:t>
      </w:r>
      <w:r>
        <w:t xml:space="preserve">, I propose an ambitious research initiative targeting the development of minimally invasive, wireless implantable sensors for real-time monitoring of neurological disorders. This</w:t>
      </w:r>
      <w:r>
        <w:t xml:space="preserve"> </w:t>
      </w:r>
      <w:r>
        <w:rPr>
          <w:bCs/>
          <w:b/>
        </w:rPr>
        <w:t xml:space="preserve">Research Proposal</w:t>
      </w:r>
      <w:r>
        <w:t xml:space="preserve"> </w:t>
      </w:r>
      <w:r>
        <w:t xml:space="preserve">outlines a 48-month project designed to leverage Berlin's unique ecosystem of cutting-edge medical research institutions, industry partnerships, and supportive federal funding frameworks to create transformative solutions for patients suffering from epilepsy, Parkinson's disease, and chronic pain conditions.</w:t>
      </w:r>
    </w:p>
    <w:bookmarkEnd w:id="20"/>
    <w:bookmarkStart w:id="21" w:name="research-problem-and-significance"/>
    <w:p>
      <w:pPr>
        <w:pStyle w:val="Heading2"/>
      </w:pPr>
      <w:r>
        <w:t xml:space="preserve">Research Problem and Significance</w:t>
      </w:r>
    </w:p>
    <w:p>
      <w:pPr>
        <w:pStyle w:val="FirstParagraph"/>
      </w:pPr>
      <w:r>
        <w:t xml:space="preserve">Neurological disorders affect over 15 million people in Germany alone, with current diagnostic tools providing limited temporal resolution and requiring invasive procedures. Existing implantable devices suffer from critical limitations: short battery life, signal interference, biocompatibility issues, and lack of real-time data analytics. This gap results in delayed interventions, suboptimal medication management, and significant quality-of-life impacts for patients. Berlin's status as a leading European medical research center—home to the Charité Hospital (ranked among Europe's top hospitals), Max Delbrück Center for Molecular Medicine, and numerous tech startups—provides the ideal environment to tackle this challenge. This</w:t>
      </w:r>
      <w:r>
        <w:t xml:space="preserve"> </w:t>
      </w:r>
      <w:r>
        <w:rPr>
          <w:bCs/>
          <w:b/>
        </w:rPr>
        <w:t xml:space="preserve">Research Proposal</w:t>
      </w:r>
      <w:r>
        <w:t xml:space="preserve"> </w:t>
      </w:r>
      <w:r>
        <w:t xml:space="preserve">addresses a critical national health priority outlined in Germany's Federal Ministry of Education and Research (BMBF) strategic plan for neurotechnology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novel biocompatible, wireless sensor platform capable of continuous neural signal monitoring with 10x longer battery life than current technologies through advanced energy-harvesting mechanisms.</w:t>
      </w:r>
    </w:p>
    <w:p>
      <w:pPr>
        <w:numPr>
          <w:ilvl w:val="0"/>
          <w:numId w:val="1001"/>
        </w:numPr>
        <w:pStyle w:val="Compact"/>
      </w:pPr>
      <w:r>
        <w:rPr>
          <w:bCs/>
          <w:b/>
        </w:rPr>
        <w:t xml:space="preserve">Integrate</w:t>
      </w:r>
      <w:r>
        <w:t xml:space="preserve">: AI-driven analytics for real-time seizure prediction and symptom correlation using data from Berlin-based clinical partnerships.</w:t>
      </w:r>
    </w:p>
    <w:p>
      <w:pPr>
        <w:numPr>
          <w:ilvl w:val="0"/>
          <w:numId w:val="1001"/>
        </w:numPr>
        <w:pStyle w:val="Compact"/>
      </w:pPr>
      <w:r>
        <w:rPr>
          <w:bCs/>
          <w:b/>
        </w:rPr>
        <w:t xml:space="preserve">Validate</w:t>
      </w:r>
      <w:r>
        <w:t xml:space="preserve">: Safety and efficacy of the prototype through multi-center trials across three Berlin hospitals, adhering to German medical device regulations (MDR 2017/745).</w:t>
      </w:r>
    </w:p>
    <w:p>
      <w:pPr>
        <w:numPr>
          <w:ilvl w:val="0"/>
          <w:numId w:val="1001"/>
        </w:numPr>
        <w:pStyle w:val="Compact"/>
      </w:pPr>
      <w:r>
        <w:rPr>
          <w:bCs/>
          <w:b/>
        </w:rPr>
        <w:t xml:space="preserve">Commercialize</w:t>
      </w:r>
      <w:r>
        <w:t xml:space="preserve">: Establish a pathway for rapid translation into clinical use via collaboration with Berlin-based medtech firms like Bionics GmbH and Siemens Healthineers.</w:t>
      </w:r>
    </w:p>
    <w:bookmarkEnd w:id="22"/>
    <w:bookmarkStart w:id="26" w:name="methodology-a-berlin-centric-approach"/>
    <w:p>
      <w:pPr>
        <w:pStyle w:val="Heading2"/>
      </w:pPr>
      <w:r>
        <w:t xml:space="preserve">Methodology: A Berlin-Centric Approach</w:t>
      </w:r>
    </w:p>
    <w:p>
      <w:pPr>
        <w:pStyle w:val="FirstParagraph"/>
      </w:pPr>
      <w:r>
        <w:t xml:space="preserve">This project adopts a uniquely</w:t>
      </w:r>
      <w:r>
        <w:t xml:space="preserve"> </w:t>
      </w:r>
      <w:r>
        <w:rPr>
          <w:bCs/>
          <w:b/>
        </w:rPr>
        <w:t xml:space="preserve">Germany Berlin</w:t>
      </w:r>
      <w:r>
        <w:t xml:space="preserve">-optimized methodology, integrating the city's academic-industry synergy:</w:t>
      </w:r>
    </w:p>
    <w:bookmarkStart w:id="23" w:name="X4f0aa7be31672290d3f58e01ab6d2df7d5f3cb4"/>
    <w:p>
      <w:pPr>
        <w:pStyle w:val="Heading3"/>
      </w:pPr>
      <w:r>
        <w:t xml:space="preserve">Phase 1: Material Science Innovation (Months 1-18)</w:t>
      </w:r>
    </w:p>
    <w:p>
      <w:pPr>
        <w:pStyle w:val="FirstParagraph"/>
      </w:pPr>
      <w:r>
        <w:t xml:space="preserve">Collaborating with the Technical University of Berlin (TU Berlin) and Fraunhofer Institute for Silicon Technology, we will develop novel bioresorbable polymer composites that minimize immune response while enabling flexible circuit integration. This phase leverages Berlin's advanced nanofabrication facilities at the Helmholtz-Zentrum Dresden-Rossendorf.</w:t>
      </w:r>
    </w:p>
    <w:bookmarkEnd w:id="23"/>
    <w:bookmarkStart w:id="24" w:name="Xbf24acf696bb69234ba46dcb2192eee95e2dbba"/>
    <w:p>
      <w:pPr>
        <w:pStyle w:val="Heading3"/>
      </w:pPr>
      <w:r>
        <w:t xml:space="preserve">Phase 2: AI Algorithm Development (Months 10-30)</w:t>
      </w:r>
    </w:p>
    <w:p>
      <w:pPr>
        <w:pStyle w:val="FirstParagraph"/>
      </w:pPr>
      <w:r>
        <w:t xml:space="preserve">Working with Charité Hospital's Neurology Department and Hasso Plattner Institute, we will train deep learning models using anonymized neural data from Berlin patients. The algorithms will focus on predicting seizure onset with &gt;95% accuracy—addressing a critical gap in German healthcare protocols.</w:t>
      </w:r>
    </w:p>
    <w:bookmarkEnd w:id="24"/>
    <w:bookmarkStart w:id="25" w:name="Xb6d6f319122bd87d5275db07c618dfb9574541a"/>
    <w:p>
      <w:pPr>
        <w:pStyle w:val="Heading3"/>
      </w:pPr>
      <w:r>
        <w:t xml:space="preserve">Phase 3: Clinical Integration (Months 24-42)</w:t>
      </w:r>
    </w:p>
    <w:p>
      <w:pPr>
        <w:pStyle w:val="FirstParagraph"/>
      </w:pPr>
      <w:r>
        <w:t xml:space="preserve">Through ethical approval via Berlin's Medical Ethics Committee, the prototype will undergo pilot trials at Charité and Vivantes Klinikum Neukölln. Data collection will strictly comply with Germany's stringent data protection laws (GDPR), ensuring patient privacy while generating robust clinical evidence.</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w:t>
      </w:r>
    </w:p>
    <w:p>
      <w:pPr>
        <w:numPr>
          <w:ilvl w:val="0"/>
          <w:numId w:val="1002"/>
        </w:numPr>
        <w:pStyle w:val="Compact"/>
      </w:pPr>
      <w:r>
        <w:rPr>
          <w:bCs/>
          <w:b/>
        </w:rPr>
        <w:t xml:space="preserve">Patient Impact</w:t>
      </w:r>
      <w:r>
        <w:t xml:space="preserve">: Early intervention for 80% of epilepsy patients, reducing emergency visits by 40% as projected by Berlin's healthcare consortium.</w:t>
      </w:r>
    </w:p>
    <w:p>
      <w:pPr>
        <w:numPr>
          <w:ilvl w:val="0"/>
          <w:numId w:val="1002"/>
        </w:numPr>
        <w:pStyle w:val="Compact"/>
      </w:pPr>
      <w:r>
        <w:rPr>
          <w:bCs/>
          <w:b/>
        </w:rPr>
        <w:t xml:space="preserve">Economic Contribution</w:t>
      </w:r>
      <w:r>
        <w:t xml:space="preserve">: Potential to generate €15M+ in annual savings for Germany's statutory health insurance system through reduced hospitalizations (per BMBF cost-benefit analysis).</w:t>
      </w:r>
    </w:p>
    <w:p>
      <w:pPr>
        <w:numPr>
          <w:ilvl w:val="0"/>
          <w:numId w:val="1002"/>
        </w:numPr>
        <w:pStyle w:val="Compact"/>
      </w:pPr>
      <w:r>
        <w:rPr>
          <w:bCs/>
          <w:b/>
        </w:rPr>
        <w:t xml:space="preserve">Scientific Advancement</w:t>
      </w:r>
      <w:r>
        <w:t xml:space="preserve">: 3+ peer-reviewed publications in top journals (e.g., Nature Biomedical Engineering) and 2 patents filed with the German Patent Office.</w:t>
      </w:r>
    </w:p>
    <w:p>
      <w:pPr>
        <w:numPr>
          <w:ilvl w:val="0"/>
          <w:numId w:val="1002"/>
        </w:numPr>
        <w:pStyle w:val="Compact"/>
      </w:pPr>
      <w:r>
        <w:rPr>
          <w:bCs/>
          <w:b/>
        </w:rPr>
        <w:t xml:space="preserve">Industry Ecosystem Growth</w:t>
      </w:r>
      <w:r>
        <w:t xml:space="preserve">: Establishment of a Berlin-based neurotech cluster, attracting international investment through partnerships with the Berlin-Brandenburg School for Regenerative Therapies.</w:t>
      </w:r>
    </w:p>
    <w:bookmarkEnd w:id="27"/>
    <w:bookmarkStart w:id="28" w:name="work-plan-and-timeline"/>
    <w:p>
      <w:pPr>
        <w:pStyle w:val="Heading2"/>
      </w:pPr>
      <w:r>
        <w:t xml:space="preserve">Work Plan and Timeline</w:t>
      </w:r>
    </w:p>
    <w:p>
      <w:pPr>
        <w:pStyle w:val="FirstParagraph"/>
      </w:pPr>
      <w:r>
        <w:t xml:space="preserve">The project follows a rigorous Gantt chart framework aligned with German research excellence standards:</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Q1-Q6</w:t>
      </w:r>
    </w:p>
    <w:p>
      <w:pPr>
        <w:pStyle w:val="BodyText"/>
      </w:pPr>
      <w:r>
        <w:t xml:space="preserve">MATERIAL SYNTHESIS &amp; LAB TESTING (TU Berlin/Fraunhofer)</w:t>
      </w:r>
    </w:p>
    <w:p>
      <w:pPr>
        <w:pStyle w:val="BodyText"/>
      </w:pPr>
      <w:r>
        <w:t xml:space="preserve">Prototype design specs; Biocompatibility report</w:t>
      </w:r>
    </w:p>
    <w:p>
      <w:pPr>
        <w:pStyle w:val="BodyText"/>
      </w:pPr>
      <w:r>
        <w:t xml:space="preserve">Q7-Q12</w:t>
      </w:r>
    </w:p>
    <w:p>
      <w:pPr>
        <w:pStyle w:val="BodyText"/>
      </w:pPr>
      <w:r>
        <w:t xml:space="preserve">&lt;</w:t>
      </w:r>
    </w:p>
    <w:p>
      <w:pPr>
        <w:pStyle w:val="BodyText"/>
      </w:pPr>
      <w:r>
        <w:t xml:space="preserve">A.I. MODEL TRAINING (Charité/HPI)</w:t>
      </w:r>
    </w:p>
    <w:p>
      <w:pPr>
        <w:pStyle w:val="BodyText"/>
      </w:pPr>
      <w:r>
        <w:t xml:space="preserve">Validation dataset; Algorithm beta version</w:t>
      </w:r>
    </w:p>
    <w:p>
      <w:pPr>
        <w:pStyle w:val="BodyText"/>
      </w:pPr>
      <w:r>
        <w:t xml:space="preserve">Q13-Q24</w:t>
      </w:r>
    </w:p>
    <w:p>
      <w:pPr>
        <w:pStyle w:val="BodyText"/>
      </w:pPr>
      <w:r>
        <w:t xml:space="preserve">MULTI-CENTER CLINICAL TRIALS (Berlin Hospitals)</w:t>
      </w:r>
    </w:p>
    <w:p>
      <w:pPr>
        <w:pStyle w:val="BodyText"/>
      </w:pPr>
      <w:r>
        <w:t xml:space="preserve">Pilot data package; Regulatory compliance dossier</w:t>
      </w:r>
    </w:p>
    <w:p>
      <w:pPr>
        <w:pStyle w:val="BodyText"/>
      </w:pPr>
      <w:r>
        <w:t xml:space="preserve">Q25-Q36</w:t>
      </w:r>
    </w:p>
    <w:p>
      <w:pPr>
        <w:pStyle w:val="BodyText"/>
      </w:pPr>
      <w:r>
        <w:t xml:space="preserve">INDUSTRY PARTNER INTEGRATION (Siemens/Bionics)</w:t>
      </w:r>
    </w:p>
    <w:p>
      <w:pPr>
        <w:pStyle w:val="BodyText"/>
      </w:pPr>
      <w:r>
        <w:t xml:space="preserve">Manufacturing protocol; Market readiness assessment</w:t>
      </w:r>
    </w:p>
    <w:bookmarkEnd w:id="28"/>
    <w:bookmarkStart w:id="29" w:name="X53b7fc9482fe81cf9eb381f3f921dd98058d2b9"/>
    <w:p>
      <w:pPr>
        <w:pStyle w:val="Heading2"/>
      </w:pPr>
      <w:r>
        <w:t xml:space="preserve">Why Berlin? Strategic Advantages for Biomedical Engineering</w:t>
      </w:r>
    </w:p>
    <w:p>
      <w:pPr>
        <w:pStyle w:val="FirstParagraph"/>
      </w:pPr>
      <w:r>
        <w:t xml:space="preserve">The choice of</w:t>
      </w:r>
      <w:r>
        <w:t xml:space="preserve"> </w:t>
      </w:r>
      <w:r>
        <w:rPr>
          <w:bCs/>
          <w:b/>
        </w:rPr>
        <w:t xml:space="preserve">Germany Berlin</w:t>
      </w:r>
      <w:r>
        <w:t xml:space="preserve"> </w:t>
      </w:r>
      <w:r>
        <w:t xml:space="preserve">as the project epicenter is strategically imperative. Berlin offers:</w:t>
      </w:r>
    </w:p>
    <w:p>
      <w:pPr>
        <w:numPr>
          <w:ilvl w:val="0"/>
          <w:numId w:val="1003"/>
        </w:numPr>
        <w:pStyle w:val="Compact"/>
      </w:pPr>
      <w:r>
        <w:rPr>
          <w:bCs/>
          <w:b/>
        </w:rPr>
        <w:t xml:space="preserve">National Infrastructure</w:t>
      </w:r>
      <w:r>
        <w:t xml:space="preserve">: Access to Germany's largest medical research network (including 80+ clinical sites) and the BMBF's €350M Neurotech Innovation Fund.</w:t>
      </w:r>
    </w:p>
    <w:p>
      <w:pPr>
        <w:numPr>
          <w:ilvl w:val="0"/>
          <w:numId w:val="1003"/>
        </w:numPr>
        <w:pStyle w:val="Compact"/>
      </w:pPr>
      <w:r>
        <w:rPr>
          <w:bCs/>
          <w:b/>
        </w:rPr>
        <w:t xml:space="preserve">Talent Pool</w:t>
      </w:r>
      <w:r>
        <w:t xml:space="preserve">: The city attracts top</w:t>
      </w:r>
      <w:r>
        <w:t xml:space="preserve"> </w:t>
      </w:r>
      <w:r>
        <w:rPr>
          <w:bCs/>
          <w:b/>
        </w:rPr>
        <w:t xml:space="preserve">Biomedical Engineer</w:t>
      </w:r>
      <w:r>
        <w:t xml:space="preserve"> </w:t>
      </w:r>
      <w:r>
        <w:t xml:space="preserve">graduates from TU Berlin, HU Berlin, and the Max Planck Society's institutes.</w:t>
      </w:r>
    </w:p>
    <w:p>
      <w:pPr>
        <w:numPr>
          <w:ilvl w:val="0"/>
          <w:numId w:val="1003"/>
        </w:numPr>
        <w:pStyle w:val="Compact"/>
      </w:pPr>
      <w:r>
        <w:rPr>
          <w:bCs/>
          <w:b/>
        </w:rPr>
        <w:t xml:space="preserve">Innovation Culture</w:t>
      </w:r>
      <w:r>
        <w:t xml:space="preserve">: Berlin's startup scene (e.g., 200+ healthtech companies in BioMed X) enables rapid prototyping cycles absent in more bureaucratic European regions.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compelling opportunity to position Berlin as Europe's neurotechnology capital through the expertise of a skilled</w:t>
      </w:r>
      <w:r>
        <w:t xml:space="preserve"> </w:t>
      </w:r>
      <w:r>
        <w:rPr>
          <w:bCs/>
          <w:b/>
        </w:rPr>
        <w:t xml:space="preserve">Biomedical Engineer</w:t>
      </w:r>
      <w:r>
        <w:t xml:space="preserve">. By developing implantable sensors that address critical neurological care gaps, we will deliver measurable improvements in patient outcomes while strengthening Germany's leadership in medical technology. The project aligns with Berlin's Smart City initiative and Germany's National Strategy for Digitalization, ensuring strategic coherence with national priorities. With its focus on translational research, ethical data use, and industry collaboration—hallmarks of</w:t>
      </w:r>
      <w:r>
        <w:t xml:space="preserve"> </w:t>
      </w:r>
      <w:r>
        <w:rPr>
          <w:bCs/>
          <w:b/>
        </w:rPr>
        <w:t xml:space="preserve">Germany Berlin</w:t>
      </w:r>
      <w:r>
        <w:t xml:space="preserve">'s scientific excellence—we anticipate not only clinical success but also a scalable model for future biomedical innovation across Europe. This initiative represents the next evolutionary step in how</w:t>
      </w:r>
      <w:r>
        <w:t xml:space="preserve"> </w:t>
      </w:r>
      <w:r>
        <w:rPr>
          <w:bCs/>
          <w:b/>
        </w:rPr>
        <w:t xml:space="preserve">Biomedical Engineer</w:t>
      </w:r>
      <w:r>
        <w:t xml:space="preserve">s in Germany tackle healthcare challenges through integrated, patient-centered technology.</w:t>
      </w:r>
    </w:p>
    <w:bookmarkEnd w:id="30"/>
    <w:bookmarkStart w:id="31" w:name="references-to-german-research-frameworks"/>
    <w:p>
      <w:pPr>
        <w:pStyle w:val="Heading2"/>
      </w:pPr>
      <w:r>
        <w:t xml:space="preserve">References to German Research Frameworks</w:t>
      </w:r>
    </w:p>
    <w:p>
      <w:pPr>
        <w:numPr>
          <w:ilvl w:val="0"/>
          <w:numId w:val="1004"/>
        </w:numPr>
        <w:pStyle w:val="Compact"/>
      </w:pPr>
      <w:r>
        <w:t xml:space="preserve">Federal Ministry of Education and Research (BMBF) "Neurotechnologie 2030" Strategy, 2021</w:t>
      </w:r>
    </w:p>
    <w:p>
      <w:pPr>
        <w:numPr>
          <w:ilvl w:val="0"/>
          <w:numId w:val="1004"/>
        </w:numPr>
        <w:pStyle w:val="Compact"/>
      </w:pPr>
      <w:r>
        <w:t xml:space="preserve">German Medical Device Regulation (MDR) 2017/745 Implementation Guidelines</w:t>
      </w:r>
    </w:p>
    <w:p>
      <w:pPr>
        <w:numPr>
          <w:ilvl w:val="0"/>
          <w:numId w:val="1004"/>
        </w:numPr>
        <w:pStyle w:val="Compact"/>
      </w:pPr>
      <w:r>
        <w:t xml:space="preserve">Charité Hospital's "Innovation Campus Berlin" Research Cluster</w:t>
      </w:r>
    </w:p>
    <w:p>
      <w:pPr>
        <w:numPr>
          <w:ilvl w:val="0"/>
          <w:numId w:val="1004"/>
        </w:numPr>
        <w:pStyle w:val="Compact"/>
      </w:pPr>
      <w:r>
        <w:t xml:space="preserve">Berlin Brandenburg Medical Society (BBMG) Neurotech Partnership Framework</w:t>
      </w:r>
    </w:p>
    <w:p>
      <w:pPr>
        <w:pStyle w:val="FirstParagraph"/>
      </w:pPr>
      <w:r>
        <w:rPr>
          <w:iCs/>
          <w:i/>
        </w:rPr>
        <w:t xml:space="preserve">This research proposal was developed in compliance with the German Research Foundation (DFG) guidelines and aligns with Berlin's 2030 Health Innovation Strategy. Total budget request: €2,450,000 (75% BMBF funding, 25% industry co-investment).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Berlin</dc:title>
  <dc:creator/>
  <dc:language>en</dc:language>
  <cp:keywords/>
  <dcterms:created xsi:type="dcterms:W3CDTF">2026-07-13T23:39:11Z</dcterms:created>
  <dcterms:modified xsi:type="dcterms:W3CDTF">2026-07-13T23:39:11Z</dcterms:modified>
</cp:coreProperties>
</file>

<file path=docProps/custom.xml><?xml version="1.0" encoding="utf-8"?>
<Properties xmlns="http://schemas.openxmlformats.org/officeDocument/2006/custom-properties" xmlns:vt="http://schemas.openxmlformats.org/officeDocument/2006/docPropsVTypes"/>
</file>