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Wearable</w:t>
      </w:r>
      <w:r>
        <w:t xml:space="preserve"> </w:t>
      </w:r>
      <w:r>
        <w:t xml:space="preserve">Biosensors</w:t>
      </w:r>
      <w:r>
        <w:t xml:space="preserve"> </w:t>
      </w:r>
      <w:r>
        <w:t xml:space="preserve">for</w:t>
      </w:r>
      <w:r>
        <w:t xml:space="preserve"> </w:t>
      </w:r>
      <w:r>
        <w:t xml:space="preserve">Chronic</w:t>
      </w:r>
      <w:r>
        <w:t xml:space="preserve"> </w:t>
      </w:r>
      <w:r>
        <w:t xml:space="preserve">Disease</w:t>
      </w:r>
      <w:r>
        <w:t xml:space="preserve"> </w:t>
      </w:r>
      <w:r>
        <w:t xml:space="preserve">Management</w:t>
      </w:r>
      <w:r>
        <w:t xml:space="preserve"> </w:t>
      </w:r>
      <w:r>
        <w:t xml:space="preserve">in</w:t>
      </w:r>
      <w:r>
        <w:t xml:space="preserve"> </w:t>
      </w:r>
      <w:r>
        <w:t xml:space="preserve">Israel</w:t>
      </w:r>
      <w:r>
        <w:t xml:space="preserve"> </w:t>
      </w:r>
      <w:r>
        <w:t xml:space="preserve">Tel</w:t>
      </w:r>
      <w:r>
        <w:t xml:space="preserve"> </w:t>
      </w:r>
      <w:r>
        <w:t xml:space="preserve">Aviv</w:t>
      </w:r>
    </w:p>
    <w:bookmarkStart w:id="28" w:name="X4927bb2d822df5050c17f8f724023e6624352fd"/>
    <w:p>
      <w:pPr>
        <w:pStyle w:val="Heading1"/>
      </w:pPr>
      <w:r>
        <w:t xml:space="preserve">Research Proposal: Development of AI-Powered Wearable Biosensors for Personalized Chronic Disease Monitoring in Israel Tel Aviv</w:t>
      </w:r>
    </w:p>
    <w:bookmarkStart w:id="20" w:name="abstract"/>
    <w:p>
      <w:pPr>
        <w:pStyle w:val="Heading2"/>
      </w:pPr>
      <w:r>
        <w:t xml:space="preserve">Abstract</w:t>
      </w:r>
    </w:p>
    <w:p>
      <w:pPr>
        <w:pStyle w:val="FirstParagraph"/>
      </w:pPr>
      <w:r>
        <w:t xml:space="preserve">This comprehensive Research Proposal outlines a groundbreaking initiative to develop next-generation wearable biosensors for real-time, non-invasive monitoring of chronic diseases such as diabetes and cardiovascular conditions. The project will be executed within the dynamic innovation ecosystem of Israel Tel Aviv, positioning it as a pivotal hub for biomedical engineering advancement. A dedicated Biomedical Engineer will lead the interdisciplinary team, leveraging Israel's world-class academic institutions (Technion – Israel Institute of Technology, Tel Aviv University) and healthcare infrastructure (Sourasky Medical Center). This proposal addresses critical gaps in chronic disease management within Israeli healthcare, aligning with national health priorities while fostering economic growth through MedTech innovation. The expected outcomes include clinically validated prototypes, patentable technology, and a sustainable model for scaling within Israel Tel Aviv's thriving startup landscape.</w:t>
      </w:r>
    </w:p>
    <w:bookmarkEnd w:id="20"/>
    <w:bookmarkStart w:id="21" w:name="introduction-context-and-rationale"/>
    <w:p>
      <w:pPr>
        <w:pStyle w:val="Heading2"/>
      </w:pPr>
      <w:r>
        <w:t xml:space="preserve">1. Introduction: Context and Rationale</w:t>
      </w:r>
    </w:p>
    <w:p>
      <w:pPr>
        <w:pStyle w:val="FirstParagraph"/>
      </w:pPr>
      <w:r>
        <w:t xml:space="preserve">Chronic diseases account for over 70% of deaths globally and impose an estimated $30 billion annual burden on Israel's healthcare system. In Israel Tel Aviv, a city renowned as the "Start-Up Nation" capital for digital health innovation, there is a pressing need for accessible, personalized monitoring solutions that reduce hospital readmissions and improve patient quality of life. Current wearable devices often lack clinical accuracy, integration with Israeli healthcare systems (e.g., Clalit Health Services), or cultural relevance for the diverse Tel Aviv population. This Research Proposal directly responds to this gap by establishing a center within Israel Tel Aviv focused on engineering solutions designed *for* and *by* the local healthcare context. The strategic location in Tel Aviv—boasting over 50% of Israel’s MedTech startups, including global leaders like TytoCare—is not incidental; it is foundational to the project's success as a Biomedical Engineer must operate within an ecosystem where academia, clinical practice, and industry converge seamlessly.</w:t>
      </w:r>
    </w:p>
    <w:bookmarkEnd w:id="21"/>
    <w:bookmarkStart w:id="22" w:name="research-objectives"/>
    <w:p>
      <w:pPr>
        <w:pStyle w:val="Heading2"/>
      </w:pPr>
      <w:r>
        <w:t xml:space="preserve">2. Research Objectives</w:t>
      </w:r>
    </w:p>
    <w:p>
      <w:pPr>
        <w:pStyle w:val="FirstParagraph"/>
      </w:pPr>
      <w:r>
        <w:t xml:space="preserve">The primary objectives of this Research Proposal are:</w:t>
      </w:r>
    </w:p>
    <w:p>
      <w:pPr>
        <w:numPr>
          <w:ilvl w:val="0"/>
          <w:numId w:val="1001"/>
        </w:numPr>
        <w:pStyle w:val="Compact"/>
      </w:pPr>
      <w:r>
        <w:rPr>
          <w:bCs/>
          <w:b/>
        </w:rPr>
        <w:t xml:space="preserve">Develop Clinically Validated Wearables:</w:t>
      </w:r>
      <w:r>
        <w:t xml:space="preserve"> </w:t>
      </w:r>
      <w:r>
        <w:t xml:space="preserve">Design low-cost, user-friendly biosensors (measuring glucose, blood pressure, ECG) integrated with AI algorithms tailored to Israeli patient demographics and healthcare workflows.</w:t>
      </w:r>
    </w:p>
    <w:p>
      <w:pPr>
        <w:numPr>
          <w:ilvl w:val="0"/>
          <w:numId w:val="1001"/>
        </w:numPr>
        <w:pStyle w:val="Compact"/>
      </w:pPr>
      <w:r>
        <w:rPr>
          <w:bCs/>
          <w:b/>
        </w:rPr>
        <w:t xml:space="preserve">Establish Tel Aviv as a Biomedical Engineering Hub:</w:t>
      </w:r>
      <w:r>
        <w:t xml:space="preserve"> </w:t>
      </w:r>
      <w:r>
        <w:t xml:space="preserve">Create a collaborative framework between Technion’s Faculty of Biomedical Engineering, Tel Aviv Sourasky Medical Center (Ichilov), and local MedTech accelerators (e.g., Start-Up Nation Central) to fast-track prototype development.</w:t>
      </w:r>
    </w:p>
    <w:p>
      <w:pPr>
        <w:numPr>
          <w:ilvl w:val="0"/>
          <w:numId w:val="1001"/>
        </w:numPr>
        <w:pStyle w:val="Compact"/>
      </w:pPr>
      <w:r>
        <w:rPr>
          <w:bCs/>
          <w:b/>
        </w:rPr>
        <w:t xml:space="preserve">Drive Health System Integration:</w:t>
      </w:r>
      <w:r>
        <w:t xml:space="preserve"> </w:t>
      </w:r>
      <w:r>
        <w:t xml:space="preserve">Ensure seamless data interoperability with Israel’s national health IT infrastructure (e.g., Maccabi Health Services’ digital platform), enabling direct physician access and reducing administrative burden for the Biomedical Engineer.</w:t>
      </w:r>
    </w:p>
    <w:bookmarkEnd w:id="22"/>
    <w:bookmarkStart w:id="23" w:name="methodology-the-tel-aviv-advantage"/>
    <w:p>
      <w:pPr>
        <w:pStyle w:val="Heading2"/>
      </w:pPr>
      <w:r>
        <w:t xml:space="preserve">3. Methodology: The Tel Aviv Advantage</w:t>
      </w:r>
    </w:p>
    <w:p>
      <w:pPr>
        <w:pStyle w:val="FirstParagraph"/>
      </w:pPr>
      <w:r>
        <w:t xml:space="preserve">This Research Proposal adopts a human-centered, iterative approach grounded in Israel Tel Aviv’s unique resources:</w:t>
      </w:r>
    </w:p>
    <w:p>
      <w:pPr>
        <w:numPr>
          <w:ilvl w:val="0"/>
          <w:numId w:val="1002"/>
        </w:numPr>
        <w:pStyle w:val="Compact"/>
      </w:pPr>
      <w:r>
        <w:rPr>
          <w:bCs/>
          <w:b/>
        </w:rPr>
        <w:t xml:space="preserve">Phase 1 (Months 1-6):</w:t>
      </w:r>
      <w:r>
        <w:t xml:space="preserve"> </w:t>
      </w:r>
      <w:r>
        <w:t xml:space="preserve">Needs assessment via focus groups with patients at Sourasky Medical Center and clinicians. A Biomedical Engineer will analyze real-world data from Israeli health records to identify critical gaps in current monitoring tools.</w:t>
      </w:r>
    </w:p>
    <w:p>
      <w:pPr>
        <w:numPr>
          <w:ilvl w:val="0"/>
          <w:numId w:val="1002"/>
        </w:numPr>
        <w:pStyle w:val="Compact"/>
      </w:pPr>
      <w:r>
        <w:rPr>
          <w:bCs/>
          <w:b/>
        </w:rPr>
        <w:t xml:space="preserve">Phase 2 (Months 7-18):</w:t>
      </w:r>
      <w:r>
        <w:t xml:space="preserve"> </w:t>
      </w:r>
      <w:r>
        <w:t xml:space="preserve">Sensor prototyping at Technion’s Center for Nanoscience and Nanotechnology, utilizing local expertise in flexible electronics and AI. The Biomedical Engineer will collaborate with electrical engineers to optimize sensor accuracy under Tel Aviv’s humid climate conditions.</w:t>
      </w:r>
    </w:p>
    <w:p>
      <w:pPr>
        <w:numPr>
          <w:ilvl w:val="0"/>
          <w:numId w:val="1002"/>
        </w:numPr>
        <w:pStyle w:val="Compact"/>
      </w:pPr>
      <w:r>
        <w:rPr>
          <w:bCs/>
          <w:b/>
        </w:rPr>
        <w:t xml:space="preserve">Phase 3 (Months 19-24):</w:t>
      </w:r>
      <w:r>
        <w:t xml:space="preserve"> </w:t>
      </w:r>
      <w:r>
        <w:t xml:space="preserve">Clinical trials with 200 participants across Tel Aviv healthcare facilities. Data will be processed using AI models trained on diverse Israeli ethnic cohorts, ensuring cultural relevance—a key differentiator from global competitors.</w:t>
      </w:r>
    </w:p>
    <w:p>
      <w:pPr>
        <w:numPr>
          <w:ilvl w:val="0"/>
          <w:numId w:val="1002"/>
        </w:numPr>
        <w:pStyle w:val="Compact"/>
      </w:pPr>
      <w:r>
        <w:rPr>
          <w:bCs/>
          <w:b/>
        </w:rPr>
        <w:t xml:space="preserve">Phase 4 (Months 25-30):</w:t>
      </w:r>
      <w:r>
        <w:t xml:space="preserve"> </w:t>
      </w:r>
      <w:r>
        <w:t xml:space="preserve">Integration roadmap for deployment within Israel’s health systems. The Biomedical Engineer will work with the Ministry of Health to align with national digital health strategies (e.g., "HealthTech 2030").</w:t>
      </w:r>
    </w:p>
    <w:bookmarkEnd w:id="23"/>
    <w:bookmarkStart w:id="24" w:name="X45575a5606cd6c5229a2f94e56cfdc135d524e2"/>
    <w:p>
      <w:pPr>
        <w:pStyle w:val="Heading2"/>
      </w:pPr>
      <w:r>
        <w:t xml:space="preserve">4. Why Israel Tel Aviv? Strategic Imperatives</w:t>
      </w:r>
    </w:p>
    <w:p>
      <w:pPr>
        <w:pStyle w:val="FirstParagraph"/>
      </w:pPr>
      <w:r>
        <w:t xml:space="preserve">Israel Tel Aviv is not merely a location; it is the optimal ecosystem for this Research Proposal to succeed:</w:t>
      </w:r>
    </w:p>
    <w:p>
      <w:pPr>
        <w:numPr>
          <w:ilvl w:val="0"/>
          <w:numId w:val="1003"/>
        </w:numPr>
        <w:pStyle w:val="Compact"/>
      </w:pPr>
      <w:r>
        <w:rPr>
          <w:bCs/>
          <w:b/>
        </w:rPr>
        <w:t xml:space="preserve">Academic Excellence:</w:t>
      </w:r>
      <w:r>
        <w:t xml:space="preserve"> </w:t>
      </w:r>
      <w:r>
        <w:t xml:space="preserve">The Technion’s Biomedical Engineering program ranks #1 in Israel, with dedicated labs for biosensor development and partnerships with hospitals.</w:t>
      </w:r>
    </w:p>
    <w:p>
      <w:pPr>
        <w:numPr>
          <w:ilvl w:val="0"/>
          <w:numId w:val="1003"/>
        </w:numPr>
        <w:pStyle w:val="Compact"/>
      </w:pPr>
      <w:r>
        <w:rPr>
          <w:bCs/>
          <w:b/>
        </w:rPr>
        <w:t xml:space="preserve">Clinical Access:</w:t>
      </w:r>
      <w:r>
        <w:t xml:space="preserve"> </w:t>
      </w:r>
      <w:r>
        <w:t xml:space="preserve">Proximity to Sourasky Medical Center (a teaching hospital serving 2M+ Tel Aviv residents) ensures rapid patient recruitment and real-world testing.</w:t>
      </w:r>
    </w:p>
    <w:p>
      <w:pPr>
        <w:numPr>
          <w:ilvl w:val="0"/>
          <w:numId w:val="1003"/>
        </w:numPr>
        <w:pStyle w:val="Compact"/>
      </w:pPr>
      <w:r>
        <w:rPr>
          <w:bCs/>
          <w:b/>
        </w:rPr>
        <w:t xml:space="preserve">Startup Ecosystem:</w:t>
      </w:r>
      <w:r>
        <w:t xml:space="preserve"> </w:t>
      </w:r>
      <w:r>
        <w:t xml:space="preserve">Tel Aviv’s MedTech cluster includes accelerators like HealthTech Israel, providing funding pathways (e.g., IATF grants) and industry partners for commercialization.</w:t>
      </w:r>
    </w:p>
    <w:p>
      <w:pPr>
        <w:numPr>
          <w:ilvl w:val="0"/>
          <w:numId w:val="1003"/>
        </w:numPr>
        <w:pStyle w:val="Compact"/>
      </w:pPr>
      <w:r>
        <w:rPr>
          <w:bCs/>
          <w:b/>
        </w:rPr>
        <w:t xml:space="preserve">National Priority:</w:t>
      </w:r>
      <w:r>
        <w:t xml:space="preserve"> </w:t>
      </w:r>
      <w:r>
        <w:t xml:space="preserve">Israel’s "National Strategy for Digital Health" explicitly prioritizes wearable tech to manage aging populations—a priority directly addressed by this Research Proposal.</w:t>
      </w:r>
    </w:p>
    <w:bookmarkEnd w:id="24"/>
    <w:bookmarkStart w:id="25" w:name="expected-impact"/>
    <w:p>
      <w:pPr>
        <w:pStyle w:val="Heading2"/>
      </w:pPr>
      <w:r>
        <w:t xml:space="preserve">5. Expected Impact</w:t>
      </w:r>
    </w:p>
    <w:p>
      <w:pPr>
        <w:pStyle w:val="FirstParagraph"/>
      </w:pPr>
      <w:r>
        <w:t xml:space="preserve">This Research Proposal will deliver transformative impact across multiple dimensions:</w:t>
      </w:r>
    </w:p>
    <w:p>
      <w:pPr>
        <w:numPr>
          <w:ilvl w:val="0"/>
          <w:numId w:val="1004"/>
        </w:numPr>
        <w:pStyle w:val="Compact"/>
      </w:pPr>
      <w:r>
        <w:rPr>
          <w:bCs/>
          <w:b/>
        </w:rPr>
        <w:t xml:space="preserve">Patient Care:</w:t>
      </w:r>
      <w:r>
        <w:t xml:space="preserve"> </w:t>
      </w:r>
      <w:r>
        <w:t xml:space="preserve">Enable 30% reduction in preventable hospital visits for chronic conditions through proactive intervention, directly benefiting Tel Aviv’s elderly population.</w:t>
      </w:r>
    </w:p>
    <w:p>
      <w:pPr>
        <w:numPr>
          <w:ilvl w:val="0"/>
          <w:numId w:val="1004"/>
        </w:numPr>
        <w:pStyle w:val="Compact"/>
      </w:pPr>
      <w:r>
        <w:rPr>
          <w:bCs/>
          <w:b/>
        </w:rPr>
        <w:t xml:space="preserve">Economic Growth:</w:t>
      </w:r>
      <w:r>
        <w:t xml:space="preserve"> </w:t>
      </w:r>
      <w:r>
        <w:t xml:space="preserve">Generate $5M+ in export revenue by commercializing the wearable platform, creating 15 high-tech jobs within Israel Tel Aviv and strengthening the local MedTech cluster.</w:t>
      </w:r>
    </w:p>
    <w:p>
      <w:pPr>
        <w:numPr>
          <w:ilvl w:val="0"/>
          <w:numId w:val="1004"/>
        </w:numPr>
        <w:pStyle w:val="Compact"/>
      </w:pPr>
      <w:r>
        <w:rPr>
          <w:bCs/>
          <w:b/>
        </w:rPr>
        <w:t xml:space="preserve">Global Leadership:</w:t>
      </w:r>
      <w:r>
        <w:t xml:space="preserve"> </w:t>
      </w:r>
      <w:r>
        <w:t xml:space="preserve">Position Israel Tel Aviv as a global benchmark for context-specific biomedical engineering, attracting international collaborators (e.g., EU Horizon projects) and talent.</w:t>
      </w:r>
    </w:p>
    <w:bookmarkEnd w:id="25"/>
    <w:bookmarkStart w:id="26" w:name="conclusion-a-call-to-action"/>
    <w:p>
      <w:pPr>
        <w:pStyle w:val="Heading2"/>
      </w:pPr>
      <w:r>
        <w:t xml:space="preserve">6. Conclusion: A Call to Action</w:t>
      </w:r>
    </w:p>
    <w:p>
      <w:pPr>
        <w:pStyle w:val="FirstParagraph"/>
      </w:pPr>
      <w:r>
        <w:t xml:space="preserve">This Research Proposal transcends conventional academic study by embedding the Biomedical Engineer within Israel Tel Aviv’s innovation fabric from inception. It is not simply about creating a device—it is about engineering a sustainable model for healthcare transformation rooted in local needs, academic rigor, and market viability. The Biomedical Engineer will operate at the intersection of cutting-edge science and real-world application, ensuring solutions are both technologically advanced and socially relevant. Israel Tel Aviv’s unparalleled ecosystem—where startups thrive on university research and hospitals demand innovation—provides the fertile ground for this project to flourish. By investing in this Research Proposal, stakeholders (government, academia, industry) will catalyze a new era of personalized healthcare that empowers patients while reducing systemic costs. This is not just a proposal; it is an investment in Israel’s future as a global leader in biomedical engineering.</w:t>
      </w:r>
    </w:p>
    <w:bookmarkEnd w:id="26"/>
    <w:bookmarkStart w:id="27" w:name="references"/>
    <w:p>
      <w:pPr>
        <w:pStyle w:val="Heading2"/>
      </w:pPr>
      <w:r>
        <w:t xml:space="preserve">7. References</w:t>
      </w:r>
    </w:p>
    <w:p>
      <w:pPr>
        <w:numPr>
          <w:ilvl w:val="0"/>
          <w:numId w:val="1005"/>
        </w:numPr>
        <w:pStyle w:val="Compact"/>
      </w:pPr>
      <w:r>
        <w:t xml:space="preserve">Israel Ministry of Health (2023). *National Digital Health Strategy 2030*.</w:t>
      </w:r>
    </w:p>
    <w:p>
      <w:pPr>
        <w:numPr>
          <w:ilvl w:val="0"/>
          <w:numId w:val="1005"/>
        </w:numPr>
        <w:pStyle w:val="Compact"/>
      </w:pPr>
      <w:r>
        <w:t xml:space="preserve">Start-Up Nation Central (2024). *MedTech Innovation Report: Tel Aviv Ecosystem Analysis*.</w:t>
      </w:r>
    </w:p>
    <w:p>
      <w:pPr>
        <w:numPr>
          <w:ilvl w:val="0"/>
          <w:numId w:val="1005"/>
        </w:numPr>
        <w:pStyle w:val="Compact"/>
      </w:pPr>
      <w:r>
        <w:t xml:space="preserve">Technion Faculty of Biomedical Engineering. *Research Centers &amp; Capabilities*. Accessed April 2024.</w:t>
      </w:r>
    </w:p>
    <w:p>
      <w:pPr>
        <w:pStyle w:val="FirstParagraph"/>
      </w:pPr>
      <w:r>
        <w:rPr>
          <w:iCs/>
          <w:i/>
        </w:rPr>
        <w:t xml:space="preserve">This Research Proposal was crafted in Israel Tel Aviv to advance biomedical engineering excellence and serves as a blueprint for the Biomedical Engineer’s pivotal role in shaping tomorrow's healthcare.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Wearable Biosensors for Chronic Disease Management in Israel Tel Aviv</dc:title>
  <dc:creator/>
  <dc:language>en</dc:language>
  <cp:keywords/>
  <dcterms:created xsi:type="dcterms:W3CDTF">2026-05-30T11:04:08Z</dcterms:created>
  <dcterms:modified xsi:type="dcterms:W3CDTF">2026-05-30T11:04:08Z</dcterms:modified>
</cp:coreProperties>
</file>

<file path=docProps/custom.xml><?xml version="1.0" encoding="utf-8"?>
<Properties xmlns="http://schemas.openxmlformats.org/officeDocument/2006/custom-properties" xmlns:vt="http://schemas.openxmlformats.org/officeDocument/2006/docPropsVTypes"/>
</file>