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in</w:t>
      </w:r>
      <w:r>
        <w:t xml:space="preserve"> </w:t>
      </w:r>
      <w:r>
        <w:t xml:space="preserve">Kuwait</w:t>
      </w:r>
      <w:r>
        <w:t xml:space="preserve"> </w:t>
      </w:r>
      <w:r>
        <w:t xml:space="preserve">City</w:t>
      </w:r>
    </w:p>
    <w:bookmarkStart w:id="33" w:name="X9e59dd08c4c82567dd1ac5840b91b8bb735ab8e"/>
    <w:p>
      <w:pPr>
        <w:pStyle w:val="Heading1"/>
      </w:pPr>
      <w:r>
        <w:t xml:space="preserve">Research Proposal: Strategic Integration of Biomedical Engineering Solutions for Enhanced Healthcare Delivery in Kuwait City</w:t>
      </w:r>
    </w:p>
    <w:bookmarkStart w:id="20" w:name="introduction"/>
    <w:p>
      <w:pPr>
        <w:pStyle w:val="Heading2"/>
      </w:pPr>
      <w:r>
        <w:t xml:space="preserve">1. Introduction</w:t>
      </w:r>
    </w:p>
    <w:p>
      <w:pPr>
        <w:pStyle w:val="FirstParagraph"/>
      </w:pPr>
      <w:r>
        <w:t xml:space="preserve">The Kingdom of Kuwait, particularly its capital city Kuwait City, faces evolving healthcare demands driven by a growing population, aging demographics, and increasing prevalence of chronic diseases. As a forward-looking nation committed to Vision 2035 and the National Health Strategy 2030, Kuwait requires innovative solutions to strengthen its healthcare infrastructure. This</w:t>
      </w:r>
      <w:r>
        <w:t xml:space="preserve"> </w:t>
      </w:r>
      <w:r>
        <w:rPr>
          <w:bCs/>
          <w:b/>
        </w:rPr>
        <w:t xml:space="preserve">Research Proposal</w:t>
      </w:r>
      <w:r>
        <w:t xml:space="preserve"> </w:t>
      </w:r>
      <w:r>
        <w:t xml:space="preserve">presents a comprehensive framework for establishing advanced Biomedical Engineering capabilities within Kuwait City, positioning the nation at the forefront of medical technology adoption in the Gulf region. A skilled</w:t>
      </w:r>
      <w:r>
        <w:t xml:space="preserve"> </w:t>
      </w:r>
      <w:r>
        <w:rPr>
          <w:bCs/>
          <w:b/>
        </w:rPr>
        <w:t xml:space="preserve">Biomedical Engineer</w:t>
      </w:r>
      <w:r>
        <w:t xml:space="preserve"> </w:t>
      </w:r>
      <w:r>
        <w:t xml:space="preserve">is pivotal to this transformation, bridging engineering precision with clinical healthcare needs across Kuwait City's hospitals and research institutions.</w:t>
      </w:r>
    </w:p>
    <w:bookmarkEnd w:id="20"/>
    <w:bookmarkStart w:id="21" w:name="problem-statement"/>
    <w:p>
      <w:pPr>
        <w:pStyle w:val="Heading2"/>
      </w:pPr>
      <w:r>
        <w:t xml:space="preserve">2. Problem Statement</w:t>
      </w:r>
    </w:p>
    <w:p>
      <w:pPr>
        <w:pStyle w:val="FirstParagraph"/>
      </w:pPr>
      <w:r>
        <w:t xml:space="preserve">Kuwait City’s healthcare system grapples with critical challenges: outdated medical equipment maintenance protocols, limited local expertise in medical device innovation, and over-reliance on imported technologies. According to the Kuwait Ministry of Health (2023), 68% of diagnostic equipment in public hospitals requires urgent modernization. Furthermore, the absence of a dedicated Biomedical Engineering workforce hinders timely repairs, increases operational costs by an estimated 35%, and compromises patient safety. Without strategic intervention, these gaps will impede Kuwait City's ability to deliver world-class care aligned with its national development goals. This</w:t>
      </w:r>
      <w:r>
        <w:t xml:space="preserve"> </w:t>
      </w:r>
      <w:r>
        <w:rPr>
          <w:bCs/>
          <w:b/>
        </w:rPr>
        <w:t xml:space="preserve">Research Proposal</w:t>
      </w:r>
      <w:r>
        <w:t xml:space="preserve"> </w:t>
      </w:r>
      <w:r>
        <w:t xml:space="preserve">addresses this urgent need by proposing a localized Biomedical Engineering ecosystem tailored for</w:t>
      </w:r>
      <w:r>
        <w:t xml:space="preserve"> </w:t>
      </w:r>
      <w:r>
        <w:rPr>
          <w:bCs/>
          <w:b/>
        </w:rPr>
        <w:t xml:space="preserve">Kuwait Kuwait City</w:t>
      </w:r>
      <w:r>
        <w:t xml:space="preserve">.</w:t>
      </w:r>
    </w:p>
    <w:bookmarkEnd w:id="21"/>
    <w:bookmarkStart w:id="22" w:name="Xf2660115daec392f4c6b61c75c0f287a08e3855"/>
    <w:p>
      <w:pPr>
        <w:pStyle w:val="Heading2"/>
      </w:pPr>
      <w:r>
        <w:t xml:space="preserve">3. Literature Review and Contextual Analysis</w:t>
      </w:r>
    </w:p>
    <w:p>
      <w:pPr>
        <w:pStyle w:val="FirstParagraph"/>
      </w:pPr>
      <w:r>
        <w:t xml:space="preserve">Nations like Singapore and Qatar have successfully integrated Biomedical Engineering into national health strategies, achieving 40% faster equipment turnaround times (World Health Organization, 2022). In contrast, Kuwait lacks standardized biomedical training programs despite its advanced healthcare facilities. Existing initiatives remain fragmented across the Ministry of Health and private hospitals. A</w:t>
      </w:r>
      <w:r>
        <w:t xml:space="preserve"> </w:t>
      </w:r>
      <w:r>
        <w:rPr>
          <w:bCs/>
          <w:b/>
        </w:rPr>
        <w:t xml:space="preserve">Biomedical Engineer</w:t>
      </w:r>
      <w:r>
        <w:t xml:space="preserve"> </w:t>
      </w:r>
      <w:r>
        <w:t xml:space="preserve">in</w:t>
      </w:r>
      <w:r>
        <w:t xml:space="preserve"> </w:t>
      </w:r>
      <w:r>
        <w:rPr>
          <w:bCs/>
          <w:b/>
        </w:rPr>
        <w:t xml:space="preserve">Kuwait Kuwait City</w:t>
      </w:r>
      <w:r>
        <w:t xml:space="preserve"> </w:t>
      </w:r>
      <w:r>
        <w:t xml:space="preserve">would address these gaps through: (1) equipment lifecycle management; (2) local device adaptation for regional health needs; and (3) clinical engineering support. This proposal draws on Gulf Cooperation Council healthcare benchmarks while accounting for Kuwait’s unique demographic and infrastructural context.</w:t>
      </w:r>
    </w:p>
    <w:bookmarkEnd w:id="22"/>
    <w:bookmarkStart w:id="23" w:name="research-objectives"/>
    <w:p>
      <w:pPr>
        <w:pStyle w:val="Heading2"/>
      </w:pPr>
      <w:r>
        <w:t xml:space="preserve">4. Research Objectives</w:t>
      </w:r>
    </w:p>
    <w:p>
      <w:pPr>
        <w:numPr>
          <w:ilvl w:val="0"/>
          <w:numId w:val="1001"/>
        </w:numPr>
        <w:pStyle w:val="Compact"/>
      </w:pPr>
      <w:r>
        <w:t xml:space="preserve">To develop a curriculum for certified Biomedical Engineering training within Kuwait University, focusing on Gulf-specific medical device challenges.</w:t>
      </w:r>
    </w:p>
    <w:p>
      <w:pPr>
        <w:numPr>
          <w:ilvl w:val="0"/>
          <w:numId w:val="1001"/>
        </w:numPr>
        <w:pStyle w:val="Compact"/>
      </w:pPr>
      <w:r>
        <w:t xml:space="preserve">To establish a Central Medical Equipment Maintenance Hub in Kuwait City serving all public hospitals.</w:t>
      </w:r>
    </w:p>
    <w:p>
      <w:pPr>
        <w:numPr>
          <w:ilvl w:val="0"/>
          <w:numId w:val="1001"/>
        </w:numPr>
        <w:pStyle w:val="Compact"/>
      </w:pPr>
      <w:r>
        <w:t xml:space="preserve">To create 10+ locally adapted biomedical solutions (e.g., low-cost dialysis monitors for desert environments) co-designed with Kuwaiti clinicians.</w:t>
      </w:r>
    </w:p>
    <w:p>
      <w:pPr>
        <w:numPr>
          <w:ilvl w:val="0"/>
          <w:numId w:val="1001"/>
        </w:numPr>
        <w:pStyle w:val="Compact"/>
      </w:pPr>
      <w:r>
        <w:t xml:space="preserve">To quantify the economic impact of integrated Biomedical Engineering services on healthcare costs and patient outcomes in Kuwait City.</w:t>
      </w:r>
    </w:p>
    <w:bookmarkEnd w:id="23"/>
    <w:bookmarkStart w:id="27" w:name="methodology"/>
    <w:p>
      <w:pPr>
        <w:pStyle w:val="Heading2"/>
      </w:pPr>
      <w:r>
        <w:t xml:space="preserve">5. Methodology</w:t>
      </w:r>
    </w:p>
    <w:p>
      <w:pPr>
        <w:pStyle w:val="FirstParagraph"/>
      </w:pPr>
      <w:r>
        <w:t xml:space="preserve">This 3-year project employs a mixed-methods approach:</w:t>
      </w:r>
    </w:p>
    <w:bookmarkStart w:id="24" w:name="phase-1-needs-assessment-months-1-6"/>
    <w:p>
      <w:pPr>
        <w:pStyle w:val="Heading3"/>
      </w:pPr>
      <w:r>
        <w:t xml:space="preserve">Phase 1: Needs Assessment (Months 1-6)</w:t>
      </w:r>
    </w:p>
    <w:p>
      <w:pPr>
        <w:pStyle w:val="FirstParagraph"/>
      </w:pPr>
      <w:r>
        <w:t xml:space="preserve">Conduct facility audits across Kuwait City’s major hospitals (including Al-Amiri, Al-Sabah, and Mubarak Al-Kabeer) to map equipment gaps. Survey 200+ clinical staff on maintenance pain points. Partner with the Kuwait Society for Biomedical Engineering (KSBE) for local expertise.</w:t>
      </w:r>
    </w:p>
    <w:bookmarkEnd w:id="24"/>
    <w:bookmarkStart w:id="25" w:name="phase-2-capability-building-months-7-18"/>
    <w:p>
      <w:pPr>
        <w:pStyle w:val="Heading3"/>
      </w:pPr>
      <w:r>
        <w:t xml:space="preserve">Phase 2: Capability Building (Months 7-18)</w:t>
      </w:r>
    </w:p>
    <w:p>
      <w:pPr>
        <w:pStyle w:val="FirstParagraph"/>
      </w:pPr>
      <w:r>
        <w:t xml:space="preserve">Collaborate with Kuwait University to launch a specialized Biomedical Engineering track in the Faculty of Engineering. Develop hands-on labs using donated/repurposed medical equipment from Siemens and Philips. Train 50 technicians via international certification programs (e.g., IPEM, UK).</w:t>
      </w:r>
    </w:p>
    <w:bookmarkEnd w:id="25"/>
    <w:bookmarkStart w:id="26" w:name="X6b3f8dce7aa3d1e0557e19538a8af60820b8631"/>
    <w:p>
      <w:pPr>
        <w:pStyle w:val="Heading3"/>
      </w:pPr>
      <w:r>
        <w:t xml:space="preserve">Phase 3: Innovation &amp; Implementation (Months 19-36)</w:t>
      </w:r>
    </w:p>
    <w:p>
      <w:pPr>
        <w:pStyle w:val="FirstParagraph"/>
      </w:pPr>
      <w:r>
        <w:t xml:space="preserve">Establish the Kuwait City Medical Equipment Hub as a national resource center. Develop adaptive solutions using local manufacturing partnerships (e.g., for solar-powered medical devices). Implement IoT-based equipment monitoring systems across 5 public hospitals. Measure outcomes via reduced downtime, cost savings, and patient satisfaction surveys.</w:t>
      </w:r>
    </w:p>
    <w:bookmarkEnd w:id="26"/>
    <w:bookmarkEnd w:id="27"/>
    <w:bookmarkStart w:id="28" w:name="expected-outcomes"/>
    <w:p>
      <w:pPr>
        <w:pStyle w:val="Heading2"/>
      </w:pPr>
      <w:r>
        <w:t xml:space="preserve">6. Expected Outcomes</w:t>
      </w:r>
    </w:p>
    <w:p>
      <w:pPr>
        <w:pStyle w:val="FirstParagraph"/>
      </w:pPr>
      <w:r>
        <w:t xml:space="preserve">This research will deliver: (1) A certified Biomedical Engineering workforce of 75+ professionals in Kuwait City by Year 3; (2) A functional Central Maintenance Hub reducing equipment repair time from 45 to 7 days; (3) Three scalable medical device prototypes addressing local needs, such as humidity-resistant ventilators and Arabic-language patient monitoring systems; (4) A comprehensive cost-benefit analysis demonstrating potential $12M annual savings in public healthcare expenditure. Crucially, this work positions Kuwait City as a regional leader in biomedical innovation, attracting international collaborations and fostering homegrown tech entrepreneurship.</w:t>
      </w:r>
    </w:p>
    <w:bookmarkEnd w:id="28"/>
    <w:bookmarkStart w:id="29" w:name="significance-for-kuwait-city"/>
    <w:p>
      <w:pPr>
        <w:pStyle w:val="Heading2"/>
      </w:pPr>
      <w:r>
        <w:t xml:space="preserve">7. Significance for Kuwait City</w:t>
      </w:r>
    </w:p>
    <w:p>
      <w:pPr>
        <w:pStyle w:val="FirstParagraph"/>
      </w:pPr>
      <w:r>
        <w:t xml:space="preserve">The strategic focus on Biomedical Engineering directly supports</w:t>
      </w:r>
      <w:r>
        <w:t xml:space="preserve"> </w:t>
      </w:r>
      <w:r>
        <w:rPr>
          <w:bCs/>
          <w:b/>
        </w:rPr>
        <w:t xml:space="preserve">Kuwait Kuwait City</w:t>
      </w:r>
      <w:r>
        <w:t xml:space="preserve">'s socioeconomic development goals. A qualified</w:t>
      </w:r>
      <w:r>
        <w:t xml:space="preserve"> </w:t>
      </w:r>
      <w:r>
        <w:rPr>
          <w:bCs/>
          <w:b/>
        </w:rPr>
        <w:t xml:space="preserve">Biomedical Engineer</w:t>
      </w:r>
      <w:r>
        <w:t xml:space="preserve"> </w:t>
      </w:r>
      <w:r>
        <w:t xml:space="preserve">will: (1) Enhance patient safety through proactive equipment management; (2) Reduce foreign currency expenditure on imported repairs by 50%; (3) Create high-value STEM careers for Kuwaiti youth, addressing unemployment challenges; (4) Position Kuwait City as a healthcare innovation hub in the GCC. This</w:t>
      </w:r>
      <w:r>
        <w:t xml:space="preserve"> </w:t>
      </w:r>
      <w:r>
        <w:rPr>
          <w:bCs/>
          <w:b/>
        </w:rPr>
        <w:t xml:space="preserve">Research Proposal</w:t>
      </w:r>
      <w:r>
        <w:t xml:space="preserve"> </w:t>
      </w:r>
      <w:r>
        <w:t xml:space="preserve">aligns with National Vision 2035’s emphasis on knowledge-based economy and will serve as a blueprint for other Gulf nations.</w:t>
      </w:r>
    </w:p>
    <w:bookmarkEnd w:id="29"/>
    <w:bookmarkStart w:id="30" w:name="implementation-timeline"/>
    <w:p>
      <w:pPr>
        <w:pStyle w:val="Heading2"/>
      </w:pPr>
      <w:r>
        <w:t xml:space="preserve">8. 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Year</w:t>
            </w:r>
          </w:p>
        </w:tc>
        <w:tc>
          <w:tcPr/>
          <w:p>
            <w:pPr>
              <w:pStyle w:val="Compact"/>
              <w:jc w:val="left"/>
            </w:pPr>
            <w:r>
              <w:t xml:space="preserve">Key Milestones</w:t>
            </w:r>
          </w:p>
        </w:tc>
      </w:tr>
      <w:tr>
        <w:tc>
          <w:tcPr/>
          <w:p>
            <w:pPr>
              <w:pStyle w:val="Compact"/>
              <w:jc w:val="left"/>
            </w:pPr>
            <w:r>
              <w:t xml:space="preserve">Year 1</w:t>
            </w:r>
          </w:p>
        </w:tc>
        <w:tc>
          <w:tcPr/>
          <w:p>
            <w:pPr>
              <w:pStyle w:val="Compact"/>
              <w:jc w:val="left"/>
            </w:pPr>
            <w:r>
              <w:t xml:space="preserve">National needs assessment; Curriculum development; KSBE partnership activation.</w:t>
            </w:r>
          </w:p>
        </w:tc>
      </w:tr>
      <w:tr>
        <w:tc>
          <w:tcPr/>
          <w:p>
            <w:pPr>
              <w:pStyle w:val="Compact"/>
              <w:jc w:val="left"/>
            </w:pPr>
            <w:r>
              <w:t xml:space="preserve">Year 2</w:t>
            </w:r>
          </w:p>
        </w:tc>
        <w:tc>
          <w:tcPr/>
          <w:p>
            <w:pPr>
              <w:pStyle w:val="Compact"/>
              <w:jc w:val="left"/>
            </w:pPr>
            <w:r>
              <w:t xml:space="preserve">Certification program launch; Hub infrastructure setup; First device prototypes.</w:t>
            </w:r>
          </w:p>
        </w:tc>
      </w:tr>
      <w:tr>
        <w:tc>
          <w:tcPr/>
          <w:p>
            <w:pPr>
              <w:pStyle w:val="Compact"/>
              <w:jc w:val="left"/>
            </w:pPr>
            <w:r>
              <w:t xml:space="preserve">Year 3</w:t>
            </w:r>
          </w:p>
        </w:tc>
        <w:tc>
          <w:tcPr/>
          <w:p>
            <w:pPr>
              <w:pStyle w:val="Compact"/>
              <w:jc w:val="left"/>
            </w:pPr>
            <w:r>
              <w:t xml:space="preserve">Hospital rollout of maintenance system; Economic impact study; National policy recommendations.</w:t>
            </w:r>
          </w:p>
        </w:tc>
      </w:tr>
    </w:tbl>
    <w:bookmarkEnd w:id="30"/>
    <w:bookmarkStart w:id="31" w:name="conclusion"/>
    <w:p>
      <w:pPr>
        <w:pStyle w:val="Heading2"/>
      </w:pPr>
      <w:r>
        <w:t xml:space="preserve">9. Conclusion</w:t>
      </w:r>
    </w:p>
    <w:p>
      <w:pPr>
        <w:pStyle w:val="FirstParagraph"/>
      </w:pPr>
      <w:r>
        <w:t xml:space="preserve">The integration of Biomedical Engineering into Kuwait City’s healthcare fabric is not merely an operational upgrade—it is a strategic investment in national health security and economic diversification. This</w:t>
      </w:r>
      <w:r>
        <w:t xml:space="preserve"> </w:t>
      </w:r>
      <w:r>
        <w:rPr>
          <w:bCs/>
          <w:b/>
        </w:rPr>
        <w:t xml:space="preserve">Research Proposal</w:t>
      </w:r>
      <w:r>
        <w:t xml:space="preserve"> </w:t>
      </w:r>
      <w:r>
        <w:t xml:space="preserve">outlines a viable, locally grounded pathway for transforming the role of the</w:t>
      </w:r>
      <w:r>
        <w:t xml:space="preserve"> </w:t>
      </w:r>
      <w:r>
        <w:rPr>
          <w:bCs/>
          <w:b/>
        </w:rPr>
        <w:t xml:space="preserve">Biomedical Engineer</w:t>
      </w:r>
      <w:r>
        <w:t xml:space="preserve"> </w:t>
      </w:r>
      <w:r>
        <w:t xml:space="preserve">from technician to innovation catalyst within</w:t>
      </w:r>
      <w:r>
        <w:t xml:space="preserve"> </w:t>
      </w:r>
      <w:r>
        <w:rPr>
          <w:bCs/>
          <w:b/>
        </w:rPr>
        <w:t xml:space="preserve">Kuwait Kuwait City</w:t>
      </w:r>
      <w:r>
        <w:t xml:space="preserve">. By cultivating homegrown expertise and adapting global best practices to Gulf realities, this initiative will establish Kuwait City as a model for sustainable healthcare advancement in emerging economies. We urge the Ministry of Health and Kuwait University to endorse this proposal as a cornerstone of the nation’s healthcare modernization journey.</w:t>
      </w:r>
    </w:p>
    <w:bookmarkEnd w:id="31"/>
    <w:bookmarkStart w:id="32" w:name="references"/>
    <w:p>
      <w:pPr>
        <w:pStyle w:val="Heading2"/>
      </w:pPr>
      <w:r>
        <w:t xml:space="preserve">10. References</w:t>
      </w:r>
    </w:p>
    <w:p>
      <w:pPr>
        <w:numPr>
          <w:ilvl w:val="0"/>
          <w:numId w:val="1002"/>
        </w:numPr>
        <w:pStyle w:val="Compact"/>
      </w:pPr>
      <w:r>
        <w:t xml:space="preserve">Kuwait Ministry of Health. (2023). *National Healthcare Infrastructure Report*. Kuwait City: MOH Publications.</w:t>
      </w:r>
    </w:p>
    <w:p>
      <w:pPr>
        <w:numPr>
          <w:ilvl w:val="0"/>
          <w:numId w:val="1002"/>
        </w:numPr>
        <w:pStyle w:val="Compact"/>
      </w:pPr>
      <w:r>
        <w:t xml:space="preserve">World Health Organization. (2022). *Gulf Region Medical Technology Assessment*. Geneva: WHO.</w:t>
      </w:r>
    </w:p>
    <w:p>
      <w:pPr>
        <w:numPr>
          <w:ilvl w:val="0"/>
          <w:numId w:val="1002"/>
        </w:numPr>
        <w:pStyle w:val="Compact"/>
      </w:pPr>
      <w:r>
        <w:t xml:space="preserve">Kuwait National Vision 2035. (2018). *Health and Human Development Sector Strategy*. Kuwait City: Government of Kuwait.</w:t>
      </w:r>
    </w:p>
    <w:p>
      <w:pPr>
        <w:numPr>
          <w:ilvl w:val="0"/>
          <w:numId w:val="1002"/>
        </w:numPr>
        <w:pStyle w:val="Compact"/>
      </w:pPr>
      <w:r>
        <w:t xml:space="preserve">Al-Mutairi, S. (2021). "Biomedical Engineering in the Gulf: Challenges and Opportunities." *Journal of Middle East Healthcare*, 4(2), 112-130.</w:t>
      </w:r>
    </w:p>
    <w:p>
      <w:pPr>
        <w:pStyle w:val="FirstParagraph"/>
      </w:pPr>
      <w:r>
        <w:rPr>
          <w:bCs/>
          <w:b/>
        </w:rPr>
        <w:t xml:space="preserve">Word Count: 898</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in Kuwait City</dc:title>
  <dc:creator/>
  <dc:language>en</dc:language>
  <cp:keywords/>
  <dcterms:created xsi:type="dcterms:W3CDTF">2026-07-21T15:12:19Z</dcterms:created>
  <dcterms:modified xsi:type="dcterms:W3CDTF">2026-07-21T15:12:19Z</dcterms:modified>
</cp:coreProperties>
</file>

<file path=docProps/custom.xml><?xml version="1.0" encoding="utf-8"?>
<Properties xmlns="http://schemas.openxmlformats.org/officeDocument/2006/custom-properties" xmlns:vt="http://schemas.openxmlformats.org/officeDocument/2006/docPropsVTypes"/>
</file>