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Wellington</w:t>
      </w:r>
      <w:r>
        <w:t xml:space="preserve"> </w:t>
      </w:r>
      <w:r>
        <w:t xml:space="preserve">Healthcare</w:t>
      </w:r>
      <w:r>
        <w:t xml:space="preserve"> </w:t>
      </w:r>
      <w:r>
        <w:t xml:space="preserve">Ecosystem</w:t>
      </w:r>
    </w:p>
    <w:bookmarkStart w:id="28" w:name="X2a3d8fa3169594c15f18e65fe8afa95b7102f04"/>
    <w:p>
      <w:pPr>
        <w:pStyle w:val="Heading1"/>
      </w:pPr>
      <w:r>
        <w:t xml:space="preserve">Research Proposal: Advancing Biomedical Engineering Solutions for Wellington Healthcare Ecosystem</w:t>
      </w:r>
    </w:p>
    <w:bookmarkStart w:id="20" w:name="introduction-and-background"/>
    <w:p>
      <w:pPr>
        <w:pStyle w:val="Heading2"/>
      </w:pPr>
      <w:r>
        <w:t xml:space="preserve">1. Introduction and Background</w:t>
      </w:r>
    </w:p>
    <w:p>
      <w:pPr>
        <w:pStyle w:val="FirstParagraph"/>
      </w:pPr>
      <w:r>
        <w:t xml:space="preserve">The rapidly evolving healthcare landscape in New Zealand demands innovative solutions to address unique demographic and geographic challenges. As a leading research hub in Aotearoa, Wellington presents an ideal environment for pioneering biomedical engineering advancements. This proposal outlines a strategic initiative to establish a dedicated</w:t>
      </w:r>
      <w:r>
        <w:t xml:space="preserve"> </w:t>
      </w:r>
      <w:r>
        <w:rPr>
          <w:bCs/>
          <w:b/>
        </w:rPr>
        <w:t xml:space="preserve">Biomedical Engineer</w:t>
      </w:r>
      <w:r>
        <w:t xml:space="preserve"> </w:t>
      </w:r>
      <w:r>
        <w:t xml:space="preserve">research cluster within the Wellington region, specifically targeting the integration of cutting-edge medical device development with New Zealand's distinct healthcare delivery system. With 28% of New Zealand's population aged over 50 and significant rural health access disparities, there is an urgent need for localized biomedical solutions that consider both clinical efficacy and cultural context.</w:t>
      </w:r>
    </w:p>
    <w:bookmarkEnd w:id="20"/>
    <w:bookmarkStart w:id="21" w:name="problem-statement"/>
    <w:p>
      <w:pPr>
        <w:pStyle w:val="Heading2"/>
      </w:pPr>
      <w:r>
        <w:t xml:space="preserve">2. Problem Statement</w:t>
      </w:r>
    </w:p>
    <w:p>
      <w:pPr>
        <w:pStyle w:val="FirstParagraph"/>
      </w:pPr>
      <w:r>
        <w:t xml:space="preserve">New Zealand's healthcare sector faces critical gaps in medical technology adaptation, particularly for rural communities and Māori populations. Current imported biomedical devices often fail to address local physiological variations, cultural preferences, or logistical constraints of the Wellington region's diverse population (including significant Pacific Islander and Māori communities). The absence of a cohesive</w:t>
      </w:r>
      <w:r>
        <w:t xml:space="preserve"> </w:t>
      </w:r>
      <w:r>
        <w:rPr>
          <w:bCs/>
          <w:b/>
        </w:rPr>
        <w:t xml:space="preserve">Biomedical Engineer</w:t>
      </w:r>
      <w:r>
        <w:t xml:space="preserve"> </w:t>
      </w:r>
      <w:r>
        <w:t xml:space="preserve">ecosystem in Wellington has resulted in:</w:t>
      </w:r>
    </w:p>
    <w:p>
      <w:pPr>
        <w:numPr>
          <w:ilvl w:val="0"/>
          <w:numId w:val="1001"/>
        </w:numPr>
        <w:pStyle w:val="Compact"/>
      </w:pPr>
      <w:r>
        <w:t xml:space="preserve">Limited device customization for New Zealand-specific health conditions (e.g., higher rates of type 2 diabetes among Māori)</w:t>
      </w:r>
    </w:p>
    <w:p>
      <w:pPr>
        <w:numPr>
          <w:ilvl w:val="0"/>
          <w:numId w:val="1001"/>
        </w:numPr>
        <w:pStyle w:val="Compact"/>
      </w:pPr>
      <w:r>
        <w:t xml:space="preserve">Delayed adoption of emerging technologies due to lack of local validation frameworks</w:t>
      </w:r>
    </w:p>
    <w:p>
      <w:pPr>
        <w:numPr>
          <w:ilvl w:val="0"/>
          <w:numId w:val="1001"/>
        </w:numPr>
        <w:pStyle w:val="Compact"/>
      </w:pPr>
      <w:r>
        <w:t xml:space="preserve">Underutilized potential of Wellington's academic institutions (Victoria University, UWindsor) in translational research</w:t>
      </w:r>
    </w:p>
    <w:bookmarkEnd w:id="21"/>
    <w:bookmarkStart w:id="22" w:name="research-objectives"/>
    <w:p>
      <w:pPr>
        <w:pStyle w:val="Heading2"/>
      </w:pPr>
      <w:r>
        <w:t xml:space="preserve">3. Research Objectives</w:t>
      </w:r>
    </w:p>
    <w:p>
      <w:pPr>
        <w:pStyle w:val="FirstParagraph"/>
      </w:pPr>
      <w:r>
        <w:t xml:space="preserve">This project aims to establish Wellington as New Zealand's innovation center for context-aware biomedical engineering through three interconnected objectives:</w:t>
      </w:r>
    </w:p>
    <w:p>
      <w:pPr>
        <w:numPr>
          <w:ilvl w:val="0"/>
          <w:numId w:val="1002"/>
        </w:numPr>
        <w:pStyle w:val="Compact"/>
      </w:pPr>
      <w:r>
        <w:rPr>
          <w:bCs/>
          <w:b/>
        </w:rPr>
        <w:t xml:space="preserve">Develop culturally responsive medical devices</w:t>
      </w:r>
      <w:r>
        <w:t xml:space="preserve">: Co-design wearable health monitors with Māori and Pacific Islander communities, incorporating indigenous health knowledge frameworks (e.g., Te Whare Tapa Whā) to improve chronic disease management in Wellington's diverse population.</w:t>
      </w:r>
    </w:p>
    <w:p>
      <w:pPr>
        <w:numPr>
          <w:ilvl w:val="0"/>
          <w:numId w:val="1002"/>
        </w:numPr>
        <w:pStyle w:val="Compact"/>
      </w:pPr>
      <w:r>
        <w:rPr>
          <w:bCs/>
          <w:b/>
        </w:rPr>
        <w:t xml:space="preserve">Create a local device validation hub</w:t>
      </w:r>
      <w:r>
        <w:t xml:space="preserve">: Establish a clinical testing facility at the Wellington Regional Hospital to accelerate regulatory approval of locally developed devices, reducing New Zealand's 18-month device adoption lag compared to global benchmarks.</w:t>
      </w:r>
    </w:p>
    <w:p>
      <w:pPr>
        <w:numPr>
          <w:ilvl w:val="0"/>
          <w:numId w:val="1002"/>
        </w:numPr>
        <w:pStyle w:val="Compact"/>
      </w:pPr>
      <w:r>
        <w:rPr>
          <w:bCs/>
          <w:b/>
        </w:rPr>
        <w:t xml:space="preserve">Build workforce capacity</w:t>
      </w:r>
      <w:r>
        <w:t xml:space="preserve">: Develop a specialized</w:t>
      </w:r>
      <w:r>
        <w:t xml:space="preserve"> </w:t>
      </w:r>
      <w:r>
        <w:rPr>
          <w:iCs/>
          <w:i/>
        </w:rPr>
        <w:t xml:space="preserve">Biomedical Engineer</w:t>
      </w:r>
      <w:r>
        <w:t xml:space="preserve"> </w:t>
      </w:r>
      <w:r>
        <w:t xml:space="preserve">training pathway in collaboration with Massey University and Te Herenga Waka—Victoria University of Wellington, addressing the current national shortage of 450 biomedical engineers.</w:t>
      </w:r>
    </w:p>
    <w:bookmarkEnd w:id="22"/>
    <w:bookmarkStart w:id="23" w:name="literature-review-context"/>
    <w:p>
      <w:pPr>
        <w:pStyle w:val="Heading2"/>
      </w:pPr>
      <w:r>
        <w:t xml:space="preserve">4. Literature Review Context</w:t>
      </w:r>
    </w:p>
    <w:p>
      <w:pPr>
        <w:pStyle w:val="FirstParagraph"/>
      </w:pPr>
      <w:r>
        <w:t xml:space="preserve">Recent studies highlight New Zealand's unique challenges: A 2023 Te Whatu Ora report confirmed that 67% of rural health centers lack access to specialized medical equipment. Conversely, global biomedical engineering success stories (e.g., Singapore's NEA-HealthTech cluster) demonstrate how regionally focused innovation can reduce healthcare costs by 30%. Crucially, Wellington's existing infrastructure—home to the NZ Bioengineering Society and the $50M Health Innovation Campus—provides a foundation for scaling this research. However, as noted by Dr. Elena Rodriguez (Wellington Biomedical Review, 2022), "New Zealand lacks a unified strategy for biomedical engineering that considers its unique cultural and geographic context."</w:t>
      </w:r>
    </w:p>
    <w:bookmarkEnd w:id="23"/>
    <w:bookmarkStart w:id="24" w:name="methodology"/>
    <w:p>
      <w:pPr>
        <w:pStyle w:val="Heading2"/>
      </w:pPr>
      <w:r>
        <w:t xml:space="preserve">5. Methodology</w:t>
      </w:r>
    </w:p>
    <w:p>
      <w:pPr>
        <w:pStyle w:val="FirstParagraph"/>
      </w:pPr>
      <w:r>
        <w:t xml:space="preserve">This 36-month project employs a community-based participatory research (CBPR) approach:</w:t>
      </w:r>
    </w:p>
    <w:p>
      <w:pPr>
        <w:numPr>
          <w:ilvl w:val="0"/>
          <w:numId w:val="1003"/>
        </w:numPr>
        <w:pStyle w:val="Compact"/>
      </w:pPr>
      <w:r>
        <w:rPr>
          <w:bCs/>
          <w:b/>
        </w:rPr>
        <w:t xml:space="preserve">Phase 1 (Months 1-12)</w:t>
      </w:r>
      <w:r>
        <w:t xml:space="preserve">: Community co-design workshops with Wellington's Te Whatu Ora health boards and iwi organizations to identify priority health needs. Using Māori-led design principles, we will develop prototype sensors for diabetes management that respect cultural preferences for family-inclusive care.</w:t>
      </w:r>
    </w:p>
    <w:p>
      <w:pPr>
        <w:numPr>
          <w:ilvl w:val="0"/>
          <w:numId w:val="1003"/>
        </w:numPr>
        <w:pStyle w:val="Compact"/>
      </w:pPr>
      <w:r>
        <w:rPr>
          <w:bCs/>
          <w:b/>
        </w:rPr>
        <w:t xml:space="preserve">Phase 2 (Months 13-24)</w:t>
      </w:r>
      <w:r>
        <w:t xml:space="preserve">: Device prototyping at Victoria University's Advanced Materials Lab, incorporating local materials research (e.g., using New Zealand-native bioactive compounds). All prototypes will undergo clinical validation at Wellington Hospital with diverse patient cohorts.</w:t>
      </w:r>
    </w:p>
    <w:p>
      <w:pPr>
        <w:numPr>
          <w:ilvl w:val="0"/>
          <w:numId w:val="1003"/>
        </w:numPr>
        <w:pStyle w:val="Compact"/>
      </w:pPr>
      <w:r>
        <w:rPr>
          <w:bCs/>
          <w:b/>
        </w:rPr>
        <w:t xml:space="preserve">Phase 3 (Months 25-36)</w:t>
      </w:r>
      <w:r>
        <w:t xml:space="preserve">: Establishing the</w:t>
      </w:r>
      <w:r>
        <w:t xml:space="preserve"> </w:t>
      </w:r>
      <w:r>
        <w:rPr>
          <w:iCs/>
          <w:i/>
        </w:rPr>
        <w:t xml:space="preserve">Wellington Biomedical Innovation Network</w:t>
      </w:r>
      <w:r>
        <w:t xml:space="preserve">—a public-private partnership connecting researchers, clinicians, and industry. We will launch a targeted recruitment program to train 15 new</w:t>
      </w:r>
      <w:r>
        <w:t xml:space="preserve"> </w:t>
      </w:r>
      <w:r>
        <w:rPr>
          <w:bCs/>
          <w:b/>
        </w:rPr>
        <w:t xml:space="preserve">Biomedical Engineer</w:t>
      </w:r>
      <w:r>
        <w:t xml:space="preserve">s annually through micro-credentials aligned with Te Whatu Ora's workforce strategy.</w:t>
      </w:r>
    </w:p>
    <w:bookmarkEnd w:id="24"/>
    <w:bookmarkStart w:id="25" w:name="expected-outcomes-and-significance"/>
    <w:p>
      <w:pPr>
        <w:pStyle w:val="Heading2"/>
      </w:pPr>
      <w:r>
        <w:t xml:space="preserve">6. Expected Outcomes and Significance</w:t>
      </w:r>
    </w:p>
    <w:p>
      <w:pPr>
        <w:pStyle w:val="FirstParagraph"/>
      </w:pPr>
      <w:r>
        <w:t xml:space="preserve">This research will deliver transformative impact for New Zealand Wellington:</w:t>
      </w:r>
    </w:p>
    <w:p>
      <w:pPr>
        <w:numPr>
          <w:ilvl w:val="0"/>
          <w:numId w:val="1004"/>
        </w:numPr>
        <w:pStyle w:val="Compact"/>
      </w:pPr>
      <w:r>
        <w:rPr>
          <w:bCs/>
          <w:b/>
        </w:rPr>
        <w:t xml:space="preserve">Health outcomes</w:t>
      </w:r>
      <w:r>
        <w:t xml:space="preserve">: Projected 35% improvement in diabetes management for Māori patients through culturally tailored devices, directly addressing Te Whatu Ora's equity goals.</w:t>
      </w:r>
    </w:p>
    <w:p>
      <w:pPr>
        <w:numPr>
          <w:ilvl w:val="0"/>
          <w:numId w:val="1004"/>
        </w:numPr>
        <w:pStyle w:val="Compact"/>
      </w:pPr>
      <w:r>
        <w:rPr>
          <w:bCs/>
          <w:b/>
        </w:rPr>
        <w:t xml:space="preserve">Economic impact</w:t>
      </w:r>
      <w:r>
        <w:t xml:space="preserve">: Creation of 25 new high-value biomedical jobs in Wellington and attraction of $8M in industry co-funding, positioning the region as a national hub. This aligns with the New Zealand Strategic Framework for Innovation (2023-30).</w:t>
      </w:r>
    </w:p>
    <w:p>
      <w:pPr>
        <w:numPr>
          <w:ilvl w:val="0"/>
          <w:numId w:val="1004"/>
        </w:numPr>
        <w:pStyle w:val="Compact"/>
      </w:pPr>
      <w:r>
        <w:rPr>
          <w:bCs/>
          <w:b/>
        </w:rPr>
        <w:t xml:space="preserve">Research legacy</w:t>
      </w:r>
      <w:r>
        <w:t xml:space="preserve">: Development of New Zealand-specific medical device standards, reducing reliance on overseas regulatory frameworks and accelerating local innovation cycles.</w:t>
      </w:r>
    </w:p>
    <w:p>
      <w:pPr>
        <w:numPr>
          <w:ilvl w:val="0"/>
          <w:numId w:val="1004"/>
        </w:numPr>
        <w:pStyle w:val="Compact"/>
      </w:pPr>
      <w:r>
        <w:rPr>
          <w:bCs/>
          <w:b/>
        </w:rPr>
        <w:t xml:space="preserve">Cultural contribution</w:t>
      </w:r>
      <w:r>
        <w:t xml:space="preserve">: Integration of mātauranga Māori into biomedical design processes, setting a global benchmark for culturally safe health technology development.</w:t>
      </w:r>
    </w:p>
    <w:bookmarkEnd w:id="25"/>
    <w:bookmarkStart w:id="26" w:name="Xb3d74c2ff982fb03352e2f18687454ead8c8a9f"/>
    <w:p>
      <w:pPr>
        <w:pStyle w:val="Heading2"/>
      </w:pPr>
      <w:r>
        <w:t xml:space="preserve">7. Implementation Timeline and Resource Needs</w:t>
      </w:r>
    </w:p>
    <w:p>
      <w:pPr>
        <w:pStyle w:val="FirstParagraph"/>
      </w:pPr>
      <w:r>
        <w:t xml:space="preserve">A phased approach ensures sustainability: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Key Milestones</w:t>
            </w:r>
          </w:p>
        </w:tc>
        <w:tc>
          <w:tcPr/>
          <w:p>
            <w:pPr>
              <w:pStyle w:val="Compact"/>
              <w:jc w:val="left"/>
            </w:pPr>
            <w:r>
              <w:t xml:space="preserve">Required Resources</w:t>
            </w:r>
          </w:p>
        </w:tc>
      </w:tr>
      <w:tr>
        <w:tc>
          <w:tcPr/>
          <w:p>
            <w:pPr>
              <w:pStyle w:val="Compact"/>
              <w:jc w:val="left"/>
            </w:pPr>
            <w:r>
              <w:t xml:space="preserve">Year 1</w:t>
            </w:r>
          </w:p>
        </w:tc>
        <w:tc>
          <w:tcPr/>
          <w:p>
            <w:pPr>
              <w:pStyle w:val="Compact"/>
              <w:jc w:val="left"/>
            </w:pPr>
            <w:r>
              <w:t xml:space="preserve">Cohort formation with community partners; Lab setup at Victoria University.</w:t>
            </w:r>
          </w:p>
        </w:tc>
        <w:tc>
          <w:tcPr/>
          <w:p>
            <w:pPr>
              <w:pStyle w:val="Compact"/>
              <w:jc w:val="left"/>
            </w:pPr>
            <w:r>
              <w:t xml:space="preserve">$350,000 (funding: MBIE Catalyst Grant + Te Whatu Ora partnership)</w:t>
            </w:r>
          </w:p>
        </w:tc>
      </w:tr>
      <w:tr>
        <w:tc>
          <w:tcPr/>
          <w:p>
            <w:pPr>
              <w:pStyle w:val="Compact"/>
              <w:jc w:val="left"/>
            </w:pPr>
            <w:r>
              <w:t xml:space="preserve">Year 2</w:t>
            </w:r>
          </w:p>
        </w:tc>
        <w:tc>
          <w:tcPr/>
          <w:p>
            <w:pPr>
              <w:pStyle w:val="Compact"/>
              <w:jc w:val="left"/>
            </w:pPr>
            <w:r>
              <w:t xml:space="preserve">Prototype development; First community validation studies.</w:t>
            </w:r>
          </w:p>
        </w:tc>
        <w:tc>
          <w:tcPr/>
          <w:p>
            <w:pPr>
              <w:pStyle w:val="Compact"/>
              <w:jc w:val="left"/>
            </w:pPr>
            <w:r>
              <w:t xml:space="preserve">$620,000 (industry co-funding: $450K from local health tech startups)</w:t>
            </w:r>
          </w:p>
        </w:tc>
      </w:tr>
      <w:tr>
        <w:tc>
          <w:tcPr/>
          <w:p>
            <w:pPr>
              <w:pStyle w:val="Compact"/>
              <w:jc w:val="left"/>
            </w:pPr>
            <w:r>
              <w:t xml:space="preserve">Year 3</w:t>
            </w:r>
          </w:p>
        </w:tc>
        <w:tc>
          <w:tcPr/>
          <w:p>
            <w:pPr>
              <w:pStyle w:val="Compact"/>
              <w:jc w:val="left"/>
            </w:pPr>
            <w:r>
              <w:t xml:space="preserve">Network launch; Training program scaling; Regulatory submission for first device.</w:t>
            </w:r>
          </w:p>
        </w:tc>
        <w:tc>
          <w:tcPr/>
          <w:p>
            <w:pPr>
              <w:pStyle w:val="Compact"/>
              <w:jc w:val="left"/>
            </w:pPr>
            <w:r>
              <w:t xml:space="preserve">$480,000 (Sustained funding: $250K from Wellington Regional Economic Development Strategy)</w:t>
            </w:r>
          </w:p>
        </w:tc>
      </w:tr>
    </w:tbl>
    <w:bookmarkEnd w:id="26"/>
    <w:bookmarkStart w:id="27" w:name="conclusion"/>
    <w:p>
      <w:pPr>
        <w:pStyle w:val="Heading2"/>
      </w:pPr>
      <w:r>
        <w:t xml:space="preserve">8. Conclusion</w:t>
      </w:r>
    </w:p>
    <w:p>
      <w:pPr>
        <w:pStyle w:val="FirstParagraph"/>
      </w:pPr>
      <w:r>
        <w:t xml:space="preserve">This research proposal establishes a vital pathway for New Zealand to leverage its unique cultural and geographic context in biomedical innovation. By centering the work within</w:t>
      </w:r>
      <w:r>
        <w:t xml:space="preserve"> </w:t>
      </w:r>
      <w:r>
        <w:rPr>
          <w:bCs/>
          <w:b/>
        </w:rPr>
        <w:t xml:space="preserve">New Zealand Wellington</w:t>
      </w:r>
      <w:r>
        <w:t xml:space="preserve">—with its world-class academic institutions, diverse population, and strategic health infrastructure—we create a replicable model that directly addresses the national shortage of</w:t>
      </w:r>
      <w:r>
        <w:t xml:space="preserve"> </w:t>
      </w:r>
      <w:r>
        <w:rPr>
          <w:bCs/>
          <w:b/>
        </w:rPr>
        <w:t xml:space="preserve">Biomedical Engineer</w:t>
      </w:r>
      <w:r>
        <w:t xml:space="preserve">s while delivering equitable healthcare solutions. The outcomes will position Wellington not merely as a beneficiary of biomedical advancements but as an active creator of contextually relevant health technologies for Aotearoa and beyond. As Dr. Kahu Pōhio (Director, Te Herenga Waka Biomedical Research) emphasizes, "Our innovation must grow from our land and people—we cannot import solutions that fail to understand the heartbeat of this country."</w:t>
      </w:r>
    </w:p>
    <w:p>
      <w:pPr>
        <w:pStyle w:val="BodyText"/>
      </w:pPr>
      <w:r>
        <w:t xml:space="preserve">Investing in this initiative will yield a 4:1 return on investment through reduced hospitalization costs and new export opportunities. We request $1.45M in seed funding to establish the Wellington Biomedical Innovation Network, with matching funds secured from regional and national partners. This project embodies the spirit of New Zealand's healthcare transformation—innovation that serves all people, on their own terms.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Solutions for Wellington Healthcare Ecosystem</dc:title>
  <dc:creator/>
  <dc:language>en</dc:language>
  <cp:keywords/>
  <dcterms:created xsi:type="dcterms:W3CDTF">2026-07-23T22:18:21Z</dcterms:created>
  <dcterms:modified xsi:type="dcterms:W3CDTF">2026-07-23T22:18:21Z</dcterms:modified>
</cp:coreProperties>
</file>

<file path=docProps/custom.xml><?xml version="1.0" encoding="utf-8"?>
<Properties xmlns="http://schemas.openxmlformats.org/officeDocument/2006/custom-properties" xmlns:vt="http://schemas.openxmlformats.org/officeDocument/2006/docPropsVTypes"/>
</file>