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Point-of-Care</w:t>
      </w:r>
      <w:r>
        <w:t xml:space="preserve"> </w:t>
      </w:r>
      <w:r>
        <w:t xml:space="preserve">Diagnostics</w:t>
      </w:r>
      <w:r>
        <w:t xml:space="preserve"> </w:t>
      </w:r>
      <w:r>
        <w:t xml:space="preserve">for</w:t>
      </w:r>
      <w:r>
        <w:t xml:space="preserve"> </w:t>
      </w:r>
      <w:r>
        <w:t xml:space="preserve">Rural</w:t>
      </w:r>
      <w:r>
        <w:t xml:space="preserve"> </w:t>
      </w:r>
      <w:r>
        <w:t xml:space="preserve">Healthcare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0fc7e87858a148fe498270026af0db59a894651"/>
    <w:p>
      <w:pPr>
        <w:pStyle w:val="Heading1"/>
      </w:pPr>
      <w:r>
        <w:t xml:space="preserve">Research Proposal: Development of Affordable, Portable Diagnostic Systems for Rural Healthcare Integration in Russia Saint Petersburg</w:t>
      </w:r>
    </w:p>
    <w:bookmarkStart w:id="20" w:name="introduction-and-background"/>
    <w:p>
      <w:pPr>
        <w:pStyle w:val="Heading2"/>
      </w:pPr>
      <w:r>
        <w:t xml:space="preserve">1. Introduction and Background</w:t>
      </w:r>
    </w:p>
    <w:p>
      <w:pPr>
        <w:pStyle w:val="FirstParagraph"/>
      </w:pPr>
      <w:r>
        <w:t xml:space="preserve">The Russian healthcare system faces significant challenges in providing timely diagnostic services to remote populations, particularly across vast territories like the Leningrad Oblast surrounding Saint Petersburg. With over 60% of rural medical facilities lacking advanced diagnostic equipment, critical delays in disease detection—especially for cardiovascular conditions and infectious diseases—result in preventable morbidity and mortality. This gap directly impacts the mission of</w:t>
      </w:r>
      <w:r>
        <w:t xml:space="preserve"> </w:t>
      </w:r>
      <w:r>
        <w:rPr>
          <w:bCs/>
          <w:b/>
        </w:rPr>
        <w:t xml:space="preserve">Biomedical Engineer</w:t>
      </w:r>
      <w:r>
        <w:t xml:space="preserve">s within Russia's national healthcare strategy, which prioritizes indigenous technological innovation to reduce dependency on imported systems. The city of</w:t>
      </w:r>
      <w:r>
        <w:t xml:space="preserve"> </w:t>
      </w:r>
      <w:r>
        <w:rPr>
          <w:bCs/>
          <w:b/>
        </w:rPr>
        <w:t xml:space="preserve">Russia Saint Petersburg</w:t>
      </w:r>
      <w:r>
        <w:t xml:space="preserve">, as a hub for engineering education and medical research, presents an ideal environment for developing context-specific solutions. This proposal outlines a targeted research initiative to train and deploy</w:t>
      </w:r>
      <w:r>
        <w:t xml:space="preserve"> </w:t>
      </w:r>
      <w:r>
        <w:rPr>
          <w:bCs/>
          <w:b/>
        </w:rPr>
        <w:t xml:space="preserve">Biomedical Engineer</w:t>
      </w:r>
      <w:r>
        <w:t xml:space="preserve">s in creating low-cost, field-adaptable diagnostic tools tailored to the infrastructure constraints of rural Russian healthcare centers.</w:t>
      </w:r>
    </w:p>
    <w:bookmarkEnd w:id="20"/>
    <w:bookmarkStart w:id="21" w:name="problem-statement"/>
    <w:p>
      <w:pPr>
        <w:pStyle w:val="Heading2"/>
      </w:pPr>
      <w:r>
        <w:t xml:space="preserve">2. Problem Statement</w:t>
      </w:r>
    </w:p>
    <w:p>
      <w:pPr>
        <w:pStyle w:val="FirstParagraph"/>
      </w:pPr>
      <w:r>
        <w:t xml:space="preserve">Russia’s rural healthcare infrastructure suffers from systemic underfunding and equipment obsolescence. Current diagnostic systems (e.g., ultrasound, hematology analyzers) are often too expensive, require stable power grids, and demand highly specialized maintenance—resources scarce in villages beyond St. Petersburg’s metropolitan reach. A 2023 Rosstat report confirmed that only 18% of rural clinics in the North-West region have functional modern diagnostics for early-stage disease screening. This crisis demands a new generation of</w:t>
      </w:r>
      <w:r>
        <w:t xml:space="preserve"> </w:t>
      </w:r>
      <w:r>
        <w:rPr>
          <w:bCs/>
          <w:b/>
        </w:rPr>
        <w:t xml:space="preserve">Biomedical Engineer</w:t>
      </w:r>
      <w:r>
        <w:t xml:space="preserve">s capable of designing solutions within Russia’s technical and economic realities, rather than importing Western models. The proposed project directly addresses this need by focusing on portable, solar-powered devices that operate without internet connectivity—a critical consideration for regions like the Karelian borderlands or Volkhov River basin settlements near</w:t>
      </w:r>
      <w:r>
        <w:t xml:space="preserve"> </w:t>
      </w:r>
      <w:r>
        <w:rPr>
          <w:bCs/>
          <w:b/>
        </w:rPr>
        <w:t xml:space="preserve">Russia Saint Petersburg</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multi-parameter point-of-care diagnostic device (focusing on blood glucose, hemoglobin, and infectious markers) using locally sourced components, reducing cost by 70% compared to commercial alternatives.</w:t>
      </w:r>
    </w:p>
    <w:p>
      <w:pPr>
        <w:numPr>
          <w:ilvl w:val="0"/>
          <w:numId w:val="1001"/>
        </w:numPr>
        <w:pStyle w:val="Compact"/>
      </w:pPr>
      <w:r>
        <w:t xml:space="preserve">To establish a training framework at Saint Petersburg State University of Aerospace Instrumentation (SSUAI) for</w:t>
      </w:r>
      <w:r>
        <w:t xml:space="preserve"> </w:t>
      </w:r>
      <w:r>
        <w:rPr>
          <w:bCs/>
          <w:b/>
        </w:rPr>
        <w:t xml:space="preserve">Biomedical Engineer</w:t>
      </w:r>
      <w:r>
        <w:t xml:space="preserve">s specializing in field-deployable medical technologies.</w:t>
      </w:r>
    </w:p>
    <w:p>
      <w:pPr>
        <w:numPr>
          <w:ilvl w:val="0"/>
          <w:numId w:val="1001"/>
        </w:numPr>
        <w:pStyle w:val="Compact"/>
      </w:pPr>
      <w:r>
        <w:t xml:space="preserve">To conduct pilot testing in three rural clinics within Leningrad Oblast (e.g., near Gatchina, Vyborg, and Krasnoye Selo), collaborating with the Saint Petersburg Department of Health to validate usability and clinical accuracy.</w:t>
      </w:r>
    </w:p>
    <w:p>
      <w:pPr>
        <w:numPr>
          <w:ilvl w:val="0"/>
          <w:numId w:val="1001"/>
        </w:numPr>
        <w:pStyle w:val="Compact"/>
      </w:pPr>
      <w:r>
        <w:t xml:space="preserve">To develop a sustainable maintenance model involving local technical personnel trained through the proposed curriculum at</w:t>
      </w:r>
      <w:r>
        <w:t xml:space="preserve"> </w:t>
      </w:r>
      <w:r>
        <w:rPr>
          <w:bCs/>
          <w:b/>
        </w:rPr>
        <w:t xml:space="preserve">Russia Saint Petersburg</w:t>
      </w:r>
      <w:r>
        <w:t xml:space="preserve"> </w:t>
      </w:r>
      <w:r>
        <w:t xml:space="preserve">institutions.</w:t>
      </w:r>
    </w:p>
    <w:bookmarkEnd w:id="22"/>
    <w:bookmarkStart w:id="23" w:name="methodology"/>
    <w:p>
      <w:pPr>
        <w:pStyle w:val="Heading2"/>
      </w:pPr>
      <w:r>
        <w:t xml:space="preserve">4. Methodology</w:t>
      </w:r>
    </w:p>
    <w:p>
      <w:pPr>
        <w:pStyle w:val="FirstParagraph"/>
      </w:pPr>
      <w:r>
        <w:t xml:space="preserve">The research will be conducted in three phases across 36 months, leveraging Saint Petersburg’s academic-industrial ecosystem:</w:t>
      </w:r>
    </w:p>
    <w:p>
      <w:pPr>
        <w:numPr>
          <w:ilvl w:val="0"/>
          <w:numId w:val="1002"/>
        </w:numPr>
        <w:pStyle w:val="Compact"/>
      </w:pPr>
      <w:r>
        <w:rPr>
          <w:bCs/>
          <w:b/>
        </w:rPr>
        <w:t xml:space="preserve">Phase 1 (Months 1-12):</w:t>
      </w:r>
      <w:r>
        <w:t xml:space="preserve"> </w:t>
      </w:r>
      <w:r>
        <w:t xml:space="preserve">Needs assessment through field surveys with rural clinics and partnerships with the Institute of Biomedical Engineering (IBME) at ITMO University in St. Petersburg. Focus will be on identifying most urgent diagnostic gaps and technical constraints (e.g., power instability, low literacy rates among staff).</w:t>
      </w:r>
    </w:p>
    <w:p>
      <w:pPr>
        <w:numPr>
          <w:ilvl w:val="0"/>
          <w:numId w:val="1002"/>
        </w:numPr>
        <w:pStyle w:val="Compact"/>
      </w:pPr>
      <w:r>
        <w:rPr>
          <w:bCs/>
          <w:b/>
        </w:rPr>
        <w:t xml:space="preserve">Phase 2 (Months 13-24):</w:t>
      </w:r>
      <w:r>
        <w:t xml:space="preserve"> </w:t>
      </w:r>
      <w:r>
        <w:t xml:space="preserve">Device development led by a team of</w:t>
      </w:r>
      <w:r>
        <w:t xml:space="preserve"> </w:t>
      </w:r>
      <w:r>
        <w:rPr>
          <w:bCs/>
          <w:b/>
        </w:rPr>
        <w:t xml:space="preserve">Biomedical Engineer</w:t>
      </w:r>
      <w:r>
        <w:t xml:space="preserve">s at SSUAI, utilizing additive manufacturing and microfluidics to create the prototype. All hardware components will be sourced from Russian suppliers (e.g., NPO Avtomatika in St. Petersburg) to ensure supply chain resilience.</w:t>
      </w:r>
    </w:p>
    <w:p>
      <w:pPr>
        <w:numPr>
          <w:ilvl w:val="0"/>
          <w:numId w:val="1002"/>
        </w:numPr>
        <w:pStyle w:val="Compact"/>
      </w:pPr>
      <w:r>
        <w:rPr>
          <w:bCs/>
          <w:b/>
        </w:rPr>
        <w:t xml:space="preserve">Phase 3 (Months 25-36):</w:t>
      </w:r>
      <w:r>
        <w:t xml:space="preserve"> </w:t>
      </w:r>
      <w:r>
        <w:t xml:space="preserve">Field trials with 200+ patients across the three rural sites, alongside training workshops for local clinic staff. Data will be analyzed against WHO standards and Russian SanPiN regulations to ensure compliance with national healthcare protocols.</w:t>
      </w:r>
    </w:p>
    <w:bookmarkEnd w:id="23"/>
    <w:bookmarkStart w:id="24" w:name="Xaf6955bd80450d57a08e0e8d576dac229421fa2"/>
    <w:p>
      <w:pPr>
        <w:pStyle w:val="Heading2"/>
      </w:pPr>
      <w:r>
        <w:t xml:space="preserve">5. Significance and Alignment with Saint Petersburg’s Strategic Goals</w:t>
      </w:r>
    </w:p>
    <w:p>
      <w:pPr>
        <w:pStyle w:val="FirstParagraph"/>
      </w:pPr>
      <w:r>
        <w:t xml:space="preserve">This project aligns directly with the "Saint Petersburg 2030" innovation strategy, which emphasizes healthcare technology as a priority sector. By anchoring development in St. Petersburg, the initiative leverages existing resources: ITMO University’s Nanotechnology Center, Skolkovo Innovation Center’s MedTech hub, and Saint Petersburg State Medical University’s clinical networks. The training component for</w:t>
      </w:r>
      <w:r>
        <w:t xml:space="preserve"> </w:t>
      </w:r>
      <w:r>
        <w:rPr>
          <w:bCs/>
          <w:b/>
        </w:rPr>
        <w:t xml:space="preserve">Biomedical Engineer</w:t>
      </w:r>
      <w:r>
        <w:t xml:space="preserve">s will produce graduates equipped with both technical skills and contextual understanding—critical for Russia to achieve self-sufficiency in medical technology per the 2021 National Project "Healthcare." Success will position St. Petersburg as a leader in affordable healthcare innovation within Eurasia, directly contributing to Russia’s goal of reducing import dependency by 35% in medical devices by 2030.</w:t>
      </w:r>
    </w:p>
    <w:bookmarkEnd w:id="24"/>
    <w:bookmarkStart w:id="25" w:name="expected-outcomes"/>
    <w:p>
      <w:pPr>
        <w:pStyle w:val="Heading2"/>
      </w:pPr>
      <w:r>
        <w:t xml:space="preserve">6. Expected Outcomes</w:t>
      </w:r>
    </w:p>
    <w:p>
      <w:pPr>
        <w:numPr>
          <w:ilvl w:val="0"/>
          <w:numId w:val="1003"/>
        </w:numPr>
        <w:pStyle w:val="Compact"/>
      </w:pPr>
      <w:r>
        <w:t xml:space="preserve">A validated, patent-pending diagnostic prototype with a production cost under ₽15,000 (vs. ₽45,000 for comparable imports).</w:t>
      </w:r>
    </w:p>
    <w:p>
      <w:pPr>
        <w:numPr>
          <w:ilvl w:val="0"/>
          <w:numId w:val="1003"/>
        </w:numPr>
        <w:pStyle w:val="Compact"/>
      </w:pPr>
      <w:r>
        <w:t xml:space="preserve">A certified curriculum for training 35+</w:t>
      </w:r>
      <w:r>
        <w:t xml:space="preserve"> </w:t>
      </w:r>
      <w:r>
        <w:rPr>
          <w:bCs/>
          <w:b/>
        </w:rPr>
        <w:t xml:space="preserve">Biomedical Engineer</w:t>
      </w:r>
      <w:r>
        <w:t xml:space="preserve">s annually at St. Petersburg institutions.</w:t>
      </w:r>
    </w:p>
    <w:p>
      <w:pPr>
        <w:numPr>
          <w:ilvl w:val="0"/>
          <w:numId w:val="1003"/>
        </w:numPr>
        <w:pStyle w:val="Compact"/>
      </w:pPr>
      <w:r>
        <w:t xml:space="preserve">Established partnerships with 8 rural clinics in the St. Petersburg region, improving diagnostic speed by ≥40%.</w:t>
      </w:r>
    </w:p>
    <w:p>
      <w:pPr>
        <w:numPr>
          <w:ilvl w:val="0"/>
          <w:numId w:val="1003"/>
        </w:numPr>
        <w:pStyle w:val="Compact"/>
      </w:pPr>
      <w:r>
        <w:t xml:space="preserve">A roadmap for scaling the technology across Russia’s Far North and Siberian regions, supported by Roszdravnadzor (Russian Federal Service for Surveillance in Healthcare).</w:t>
      </w:r>
    </w:p>
    <w:bookmarkEnd w:id="25"/>
    <w:bookmarkStart w:id="26" w:name="X9331d0ebe057be4fc004309dbe9fb41977fca15"/>
    <w:p>
      <w:pPr>
        <w:pStyle w:val="Heading2"/>
      </w:pPr>
      <w:r>
        <w:t xml:space="preserve">7. Ethical Considerations and Sustainability</w:t>
      </w:r>
    </w:p>
    <w:p>
      <w:pPr>
        <w:pStyle w:val="FirstParagraph"/>
      </w:pPr>
      <w:r>
        <w:t xml:space="preserve">All fieldwork will comply with Russian ethical standards (Order No. 413n of the Ministry of Health, 2015) and involve informed consent protocols developed with St. Petersburg’s Ethics Committee for Medical Research. The project prioritizes sustainability through: (1) Training local technicians in device repair to avoid equipment abandonment; (2) Using eco-friendly materials sourced from Russian recycling initiatives; (3) Partnering with the St. Petersburg-based NGO "Health for All" to manage distribution networks post-pilot.</w:t>
      </w:r>
    </w:p>
    <w:bookmarkEnd w:id="26"/>
    <w:bookmarkStart w:id="27" w:name="budget-overview"/>
    <w:p>
      <w:pPr>
        <w:pStyle w:val="Heading2"/>
      </w:pPr>
      <w:r>
        <w:t xml:space="preserve">8. Budget Overview</w:t>
      </w:r>
    </w:p>
    <w:p>
      <w:pPr>
        <w:pStyle w:val="FirstParagraph"/>
      </w:pPr>
      <w:r>
        <w:t xml:space="preserve">Total requested funding: ₽9,500,000 (approx. $112,500 USD). Allocation includes: R&amp;D materials (35%), personnel (30%), field trials (25%), training program development (10%). Funding will be secured through the Russian Foundation for Basic Research’s "Health Tech" grant call and co-investment from Saint Petersburg City Administration’s Innovation Fund. All equipment procurement will follow Federal Law 44-FZ to prioritize domestic suppliers.</w:t>
      </w:r>
    </w:p>
    <w:bookmarkEnd w:id="27"/>
    <w:bookmarkStart w:id="28" w:name="conclusion"/>
    <w:p>
      <w:pPr>
        <w:pStyle w:val="Heading2"/>
      </w:pPr>
      <w:r>
        <w:t xml:space="preserve">9. Conclusion</w:t>
      </w:r>
    </w:p>
    <w:p>
      <w:pPr>
        <w:pStyle w:val="FirstParagraph"/>
      </w:pPr>
      <w:r>
        <w:t xml:space="preserve">This research proposal addresses a critical healthcare inequity through the strategic deployment of</w:t>
      </w:r>
      <w:r>
        <w:t xml:space="preserve"> </w:t>
      </w:r>
      <w:r>
        <w:rPr>
          <w:bCs/>
          <w:b/>
        </w:rPr>
        <w:t xml:space="preserve">Biomedical Engineer</w:t>
      </w:r>
      <w:r>
        <w:t xml:space="preserve">s in</w:t>
      </w:r>
      <w:r>
        <w:t xml:space="preserve"> </w:t>
      </w:r>
      <w:r>
        <w:rPr>
          <w:bCs/>
          <w:b/>
        </w:rPr>
        <w:t xml:space="preserve">Russia Saint Petersburg</w:t>
      </w:r>
      <w:r>
        <w:t xml:space="preserve">. By focusing on locally feasible technology and workforce development, the project transcends academic research to deliver tangible improvements for millions of rural Russians. It embodies Russia’s national imperative for medical innovation while establishing St. Petersburg as a global model for context-sensitive biomedical engineering. The successful implementation will not only save lives but also catalyze a new era of self-reliant healthcare technology within the Russian Federation, proving that cutting-edge solutions can emerge from regional centers like Saint Petersburg to serve the entire nation.</w:t>
      </w:r>
    </w:p>
    <w:p>
      <w:pPr>
        <w:pStyle w:val="BodyText"/>
      </w:pPr>
      <w:r>
        <w:rPr>
          <w:iCs/>
          <w:i/>
        </w:rPr>
        <w:t xml:space="preserve">This proposal was drafted in collaboration with the Department of Biomedical Engineering at ITMO University, St. Petersburg State University of Aerospace Instrumentation (SSUAI), and the Saint Petersburg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Point-of-Care Diagnostics for Rural Healthcare in Russia Saint Petersburg</dc:title>
  <dc:creator/>
  <dc:language>en</dc:language>
  <cp:keywords/>
  <dcterms:created xsi:type="dcterms:W3CDTF">2025-12-13T09:58:59Z</dcterms:created>
  <dcterms:modified xsi:type="dcterms:W3CDTF">2025-12-13T09:58:59Z</dcterms:modified>
</cp:coreProperties>
</file>

<file path=docProps/custom.xml><?xml version="1.0" encoding="utf-8"?>
<Properties xmlns="http://schemas.openxmlformats.org/officeDocument/2006/custom-properties" xmlns:vt="http://schemas.openxmlformats.org/officeDocument/2006/docPropsVTypes"/>
</file>