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Biomaterials</w:t>
      </w:r>
      <w:r>
        <w:t xml:space="preserve"> </w:t>
      </w:r>
      <w:r>
        <w:t xml:space="preserve">for</w:t>
      </w:r>
      <w:r>
        <w:t xml:space="preserve"> </w:t>
      </w:r>
      <w:r>
        <w:t xml:space="preserve">Orthopedic</w:t>
      </w:r>
      <w:r>
        <w:t xml:space="preserve"> </w:t>
      </w:r>
      <w:r>
        <w:t xml:space="preserve">Implants</w:t>
      </w:r>
      <w:r>
        <w:t xml:space="preserve"> </w:t>
      </w:r>
      <w:r>
        <w:t xml:space="preserve">at</w:t>
      </w:r>
      <w:r>
        <w:t xml:space="preserve"> </w:t>
      </w:r>
      <w:r>
        <w:t xml:space="preserve">Switzerland</w:t>
      </w:r>
      <w:r>
        <w:t xml:space="preserve"> </w:t>
      </w:r>
      <w:r>
        <w:t xml:space="preserve">Zurich</w:t>
      </w:r>
    </w:p>
    <w:bookmarkStart w:id="28" w:name="Xf8e186b43c9c2cf082e632e6486bdb749fb3c54"/>
    <w:p>
      <w:pPr>
        <w:pStyle w:val="Heading1"/>
      </w:pPr>
      <w:r>
        <w:t xml:space="preserve">Research Proposal: Development of Bioactive Nanocomposite Scaffolds for Enhanced Osseointegration in Orthopedic Implants</w:t>
      </w:r>
    </w:p>
    <w:bookmarkStart w:id="20" w:name="Xaa6b11160f73f4a091fa9807ceb16bad2eb7c88"/>
    <w:p>
      <w:pPr>
        <w:pStyle w:val="Heading2"/>
      </w:pPr>
      <w:r>
        <w:t xml:space="preserve">Submitted by: Dr. Elena Vogel, Biomedical Engineer</w:t>
      </w:r>
    </w:p>
    <w:p>
      <w:pPr>
        <w:pStyle w:val="FirstParagraph"/>
      </w:pPr>
      <w:r>
        <w:rPr>
          <w:iCs/>
          <w:i/>
        </w:rPr>
        <w:t xml:space="preserve">Proposal Submitted to the Swiss National Science Foundation (SNSF) and ETH Zurich Research Committee</w:t>
      </w:r>
    </w:p>
    <w:bookmarkEnd w:id="20"/>
    <w:bookmarkStart w:id="21" w:name="introduction-and-background"/>
    <w:p>
      <w:pPr>
        <w:pStyle w:val="Heading2"/>
      </w:pPr>
      <w:r>
        <w:t xml:space="preserve">1. Introduction and Background</w:t>
      </w:r>
    </w:p>
    <w:p>
      <w:pPr>
        <w:pStyle w:val="FirstParagraph"/>
      </w:pPr>
      <w:r>
        <w:t xml:space="preserve">The field of biomedical engineering stands at a pivotal juncture in Switzerland Zurich, where cutting-edge research intersects with world-class clinical infrastructure. As a certified Biomedical Engineer with 8 years of experience in biomaterials development, I propose this Research Proposal to address critical limitations in current orthopedic implant technology. With Switzerland's aging population and Zurich's status as Europe's leading biotech hub—home to companies like Roche Diagnostics and ETH Zurich's Institute of Materials Science—the demand for next-generation implants is accelerating. Current metallic and polymeric implants often fail due to poor osseointegration (bone bonding), triggering revision surgeries that impose significant healthcare costs (estimated at CHF 12,000 per case in Switzerland). This Research Proposal outlines a solution leveraging Zurich's unique ecosystem of academic-industrial collaboration to develop bioactive nanocomposite scaffolds that actively promote bone regeneration.</w:t>
      </w:r>
    </w:p>
    <w:bookmarkEnd w:id="21"/>
    <w:bookmarkStart w:id="22" w:name="problem-statement"/>
    <w:p>
      <w:pPr>
        <w:pStyle w:val="Heading2"/>
      </w:pPr>
      <w:r>
        <w:t xml:space="preserve">2. Problem Statement</w:t>
      </w:r>
    </w:p>
    <w:p>
      <w:pPr>
        <w:pStyle w:val="FirstParagraph"/>
      </w:pPr>
      <w:r>
        <w:t xml:space="preserve">Orthopedic implant failure rates remain unacceptably high (15–20% within 10 years) in Switzerland Zurich due to insufficient osseointegration and inflammation triggered by conventional materials. Existing solutions, such as hydroxyapatite coatings, provide only temporary bioactivity and lack mechanical stability. The current gap lies in creating scaffolds that simultaneously deliver controlled drug release (e.g., BMP-2), possess tunable mechanical properties matching human bone, and integrate seamlessly with host tissue—without triggering immune rejection. Zurich's medical device sector reports that 34% of implant recalls stem from biocompatibility issues, underscoring the urgency for innovation. This Research Proposal directly targets these limitations through a novel nanomaterial approach.</w:t>
      </w:r>
    </w:p>
    <w:bookmarkEnd w:id="22"/>
    <w:bookmarkStart w:id="23"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Design and fabricate a multi-functional nanocomposite scaffold (using biodegradable polymers + bioactive glass nanoparticles) that enhances osteoblast differentiation by 40% over existing materials.</w:t>
      </w:r>
    </w:p>
    <w:p>
      <w:pPr>
        <w:numPr>
          <w:ilvl w:val="0"/>
          <w:numId w:val="1001"/>
        </w:numPr>
        <w:pStyle w:val="Compact"/>
      </w:pPr>
      <w:r>
        <w:rPr>
          <w:bCs/>
          <w:b/>
        </w:rPr>
        <w:t xml:space="preserve">Secondary Objectives:</w:t>
      </w:r>
    </w:p>
    <w:p>
      <w:pPr>
        <w:numPr>
          <w:ilvl w:val="1"/>
          <w:numId w:val="1002"/>
        </w:numPr>
        <w:pStyle w:val="Compact"/>
      </w:pPr>
      <w:r>
        <w:t xml:space="preserve">Optimize the scaffold's degradation rate to match bone healing timelines (6–12 months)</w:t>
      </w:r>
    </w:p>
    <w:p>
      <w:pPr>
        <w:numPr>
          <w:ilvl w:val="1"/>
          <w:numId w:val="1002"/>
        </w:numPr>
        <w:pStyle w:val="Compact"/>
      </w:pPr>
      <w:r>
        <w:t xml:space="preserve">Integrate a dual-release system for anti-inflammatory cytokines and pro-osteogenic factors</w:t>
      </w:r>
    </w:p>
    <w:p>
      <w:pPr>
        <w:numPr>
          <w:ilvl w:val="1"/>
          <w:numId w:val="1002"/>
        </w:numPr>
        <w:pStyle w:val="Compact"/>
      </w:pPr>
      <w:r>
        <w:t xml:space="preserve">Evaluate immunomodulatory effects using Zurich's state-of-the-art in vitro immune models</w:t>
      </w:r>
    </w:p>
    <w:p>
      <w:pPr>
        <w:numPr>
          <w:ilvl w:val="0"/>
          <w:numId w:val="1001"/>
        </w:numPr>
        <w:pStyle w:val="Compact"/>
      </w:pPr>
      <w:r>
        <w:rPr>
          <w:bCs/>
          <w:b/>
        </w:rPr>
        <w:t xml:space="preserve">Switzerland Zurich-Specific Goal:</w:t>
      </w:r>
      <w:r>
        <w:t xml:space="preserve"> </w:t>
      </w:r>
      <w:r>
        <w:t xml:space="preserve">Forge partnerships with Kantonsspital Zürich and the Swiss Federal Institute of Technology (ETH) to validate prototypes in clinical-relevant settings within 18 months.</w:t>
      </w:r>
    </w:p>
    <w:bookmarkEnd w:id="23"/>
    <w:bookmarkStart w:id="24" w:name="methodology"/>
    <w:p>
      <w:pPr>
        <w:pStyle w:val="Heading2"/>
      </w:pPr>
      <w:r>
        <w:t xml:space="preserve">4. Methodology</w:t>
      </w:r>
    </w:p>
    <w:p>
      <w:pPr>
        <w:pStyle w:val="FirstParagraph"/>
      </w:pPr>
      <w:r>
        <w:t xml:space="preserve">This project employs a multidisciplinary approach rooted in Zurich's biomedical engineering excellence. The methodology is divided into three phases, utilizing facilities at ETH Zurich and the University of Zurich's Center for Biomedical Engineering:</w:t>
      </w:r>
    </w:p>
    <w:p>
      <w:pPr>
        <w:numPr>
          <w:ilvl w:val="0"/>
          <w:numId w:val="1003"/>
        </w:numPr>
        <w:pStyle w:val="Compact"/>
      </w:pPr>
      <w:r>
        <w:rPr>
          <w:bCs/>
          <w:b/>
        </w:rPr>
        <w:t xml:space="preserve">Phase 1 (Months 1–6): Material Synthesis &amp; Characterization</w:t>
      </w:r>
      <w:r>
        <w:br/>
      </w:r>
      <w:r>
        <w:t xml:space="preserve">Nanocomposites will be engineered using solvent-free electrospinning (a technique pioneered at ETH Zurich). Bioactive glass nanoparticles (BG-70S3) will be embedded in polycaprolactone (PCL) matrices, with surface functionalization via plasma treatment. Critical properties—porosity, tensile strength, degradation rate, and protein adsorption—will be quantified using atomic force microscopy (AFM) and SEM at the ETH Zurich Materials Characterization Center.</w:t>
      </w:r>
    </w:p>
    <w:p>
      <w:pPr>
        <w:numPr>
          <w:ilvl w:val="0"/>
          <w:numId w:val="1003"/>
        </w:numPr>
        <w:pStyle w:val="Compact"/>
      </w:pPr>
      <w:r>
        <w:rPr>
          <w:bCs/>
          <w:b/>
        </w:rPr>
        <w:t xml:space="preserve">Phase 2 (Months 7–14): In Vitro &amp; Immunomodulation Studies</w:t>
      </w:r>
      <w:r>
        <w:br/>
      </w:r>
      <w:r>
        <w:t xml:space="preserve">Human mesenchymal stem cells (hMSCs) from University Hospital Zurich's tissue bank will be seeded on scaffolds. Osteogenic differentiation will be tracked via ALP activity and gene expression (RUNX2, OPN). Crucially, this Research Proposal incorporates Zurich's unique advantage: co-culture with macrophages to assess immunomodulation—analyzing IL-10/IL-6 ratios via ELISA at the Institute of Veterinary Pathology. This phase will benchmark against standard commercial implants (e.g., Zimmer Biomet).</w:t>
      </w:r>
    </w:p>
    <w:p>
      <w:pPr>
        <w:numPr>
          <w:ilvl w:val="0"/>
          <w:numId w:val="1003"/>
        </w:numPr>
        <w:pStyle w:val="Compact"/>
      </w:pPr>
      <w:r>
        <w:rPr>
          <w:bCs/>
          <w:b/>
        </w:rPr>
        <w:t xml:space="preserve">Phase 3 (Months 15–24): Preclinical Validation</w:t>
      </w:r>
      <w:r>
        <w:br/>
      </w:r>
      <w:r>
        <w:t xml:space="preserve">Scaffolds will be tested in a sheep tibial defect model at the ETH Zurich Animal Research Facility, chosen for anatomical similarity to human bone. Micro-CT and histomorphometry (conducted at Kantonsspital Zürich's imaging core) will quantify osseointegration versus controls. Statistical analysis (n=12 per group) will follow ISO 10993-5 standards.</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three transformative outcomes: (1) A patentable nanocomposite scaffold with 40% higher bone bonding in vitro; (2) A standardized protocol for immunomodulatory screening applicable to Zurich's clinical trial networks; and (3) An accelerated pathway to clinical translation via partnerships with Zurich-based medtech firms. The significance extends beyond Switzerland: Successful implementation could reduce revision surgeries by 25%, saving CHF 180M annually in Swiss healthcare costs. As a Biomedical Engineer deeply embedded in the Switzerland Zurich ecosystem, I will ensure this work aligns with the Swiss National Strategy for Research on Medical Technology (2023–2030), positioning Zurich as a global leader in regenerative orthopedics.</w:t>
      </w:r>
    </w:p>
    <w:bookmarkEnd w:id="25"/>
    <w:bookmarkStart w:id="26" w:name="timeline-and-resource-requirements"/>
    <w:p>
      <w:pPr>
        <w:pStyle w:val="Heading2"/>
      </w:pPr>
      <w:r>
        <w:t xml:space="preserve">6.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 (Months)</w:t>
            </w:r>
          </w:p>
        </w:tc>
        <w:tc>
          <w:tcPr/>
          <w:p>
            <w:pPr>
              <w:pStyle w:val="Compact"/>
              <w:jc w:val="left"/>
            </w:pPr>
            <w:r>
              <w:t xml:space="preserve">Key Resources from Switzerland Zurich</w:t>
            </w:r>
          </w:p>
        </w:tc>
      </w:tr>
      <w:tr>
        <w:tc>
          <w:tcPr/>
          <w:p>
            <w:pPr>
              <w:pStyle w:val="Compact"/>
              <w:jc w:val="left"/>
            </w:pPr>
            <w:r>
              <w:t xml:space="preserve">Material Synthesis &amp; Characterization</w:t>
            </w:r>
          </w:p>
        </w:tc>
        <w:tc>
          <w:tcPr/>
          <w:p>
            <w:pPr>
              <w:pStyle w:val="Compact"/>
              <w:jc w:val="left"/>
            </w:pPr>
            <w:r>
              <w:t xml:space="preserve">1–6</w:t>
            </w:r>
          </w:p>
        </w:tc>
        <w:tc>
          <w:tcPr/>
          <w:p>
            <w:pPr>
              <w:pStyle w:val="Compact"/>
              <w:jc w:val="left"/>
            </w:pPr>
            <w:r>
              <w:t xml:space="preserve">ETH Zurich's Nanotechnology Lab; $85K (equipment access)</w:t>
            </w:r>
          </w:p>
        </w:tc>
      </w:tr>
      <w:tr>
        <w:tc>
          <w:tcPr/>
          <w:p>
            <w:pPr>
              <w:pStyle w:val="Compact"/>
              <w:jc w:val="left"/>
            </w:pPr>
            <w:r>
              <w:t xml:space="preserve">In Vitro &amp; Immunomodulation</w:t>
            </w:r>
          </w:p>
        </w:tc>
        <w:tc>
          <w:tcPr/>
          <w:p>
            <w:pPr>
              <w:pStyle w:val="Compact"/>
              <w:jc w:val="left"/>
            </w:pPr>
            <w:r>
              <w:t xml:space="preserve">7–14</w:t>
            </w:r>
          </w:p>
        </w:tc>
        <w:tc>
          <w:tcPr/>
          <w:p>
            <w:pPr>
              <w:pStyle w:val="Compact"/>
              <w:jc w:val="left"/>
            </w:pPr>
            <w:r>
              <w:t xml:space="preserve">University of Zurich Cell Culture Facility; $60K (reagents)</w:t>
            </w:r>
          </w:p>
        </w:tc>
      </w:tr>
      <w:tr>
        <w:tc>
          <w:tcPr/>
          <w:p>
            <w:pPr>
              <w:pStyle w:val="Compact"/>
              <w:jc w:val="left"/>
            </w:pPr>
            <w:r>
              <w:t xml:space="preserve">Preclinical Validation</w:t>
            </w:r>
          </w:p>
        </w:tc>
        <w:tc>
          <w:tcPr/>
          <w:p>
            <w:pPr>
              <w:pStyle w:val="Compact"/>
              <w:jc w:val="left"/>
            </w:pPr>
            <w:r>
              <w:t xml:space="preserve">15–24</w:t>
            </w:r>
          </w:p>
        </w:tc>
        <w:tc>
          <w:tcPr/>
          <w:p>
            <w:pPr>
              <w:pStyle w:val="Compact"/>
              <w:jc w:val="left"/>
            </w:pPr>
            <w:r>
              <w:t xml:space="preserve">Kantonsspital Zürich surgical team; $120K (animal studies)</w:t>
            </w:r>
          </w:p>
        </w:tc>
      </w:tr>
    </w:tbl>
    <w:bookmarkEnd w:id="26"/>
    <w:bookmarkStart w:id="27" w:name="X4a025d9ec83467d7aaa3cff26b64ef97488a8c5"/>
    <w:p>
      <w:pPr>
        <w:pStyle w:val="Heading2"/>
      </w:pPr>
      <w:r>
        <w:t xml:space="preserve">7. Conclusion: A Zurich-Centric Vision for Biomedical Engineering</w:t>
      </w:r>
    </w:p>
    <w:p>
      <w:pPr>
        <w:pStyle w:val="FirstParagraph"/>
      </w:pPr>
      <w:r>
        <w:t xml:space="preserve">This Research Proposal represents more than scientific inquiry—it embodies the collaborative spirit of Switzerland Zurich as a global biomedical engineering nexus. By leveraging ETH Zurich's materials innovation, University Hospital Zürich's clinical expertise, and Switzerland's rigorous regulatory framework (Swissmedic), this project will deliver not only superior technology but also a scalable model for translational research. As a Biomedical Engineer committed to advancing healthcare in Switzerland Zurich, I am uniquely positioned to bridge laboratory discovery with clinical impact. The successful completion of this Research Proposal will establish Zurich as the epicenter for bioactive implant innovation, attracting international investment and reducing patient suffering through engineering excellence. We do not merely propose a scaffold—we propose a new standard for orthopedic care rooted in the heart of European biomedical research.</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Biomaterials for Orthopedic Implants at Switzerland Zurich</dc:title>
  <dc:creator/>
  <dc:language>en</dc:language>
  <cp:keywords/>
  <dcterms:created xsi:type="dcterms:W3CDTF">2026-07-23T02:24:05Z</dcterms:created>
  <dcterms:modified xsi:type="dcterms:W3CDTF">2026-07-23T02:24:05Z</dcterms:modified>
</cp:coreProperties>
</file>

<file path=docProps/custom.xml><?xml version="1.0" encoding="utf-8"?>
<Properties xmlns="http://schemas.openxmlformats.org/officeDocument/2006/custom-properties" xmlns:vt="http://schemas.openxmlformats.org/officeDocument/2006/docPropsVTypes"/>
</file>