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Iran</w:t>
      </w:r>
      <w:r>
        <w:t xml:space="preserve"> </w:t>
      </w:r>
      <w:r>
        <w:t xml:space="preserve">Tehran</w:t>
      </w:r>
    </w:p>
    <w:bookmarkStart w:id="29" w:name="Xee1eb7aa91ce8cfa6c203d30232b53bfbec1882"/>
    <w:p>
      <w:pPr>
        <w:pStyle w:val="Heading1"/>
      </w:pPr>
      <w:r>
        <w:t xml:space="preserve">Research Proposal: Optimizing the Role of Business Consultants in Navigating Economic Complexities for Enterprises in Iran Tehran</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investigates the critical role and operational effectiveness of the</w:t>
      </w:r>
      <w:r>
        <w:t xml:space="preserve"> </w:t>
      </w:r>
      <w:r>
        <w:rPr>
          <w:bCs/>
          <w:b/>
        </w:rPr>
        <w:t xml:space="preserve">Business Consultant</w:t>
      </w:r>
      <w:r>
        <w:t xml:space="preserve"> </w:t>
      </w:r>
      <w:r>
        <w:t xml:space="preserve">within the dynamic economic landscape of</w:t>
      </w:r>
      <w:r>
        <w:t xml:space="preserve"> </w:t>
      </w:r>
      <w:r>
        <w:rPr>
          <w:bCs/>
          <w:b/>
        </w:rPr>
        <w:t xml:space="preserve">Iran Tehran</w:t>
      </w:r>
      <w:r>
        <w:t xml:space="preserve">. Focusing on Tehran as Iran's undisputed economic, financial, and administrative hub—accounting for approximately 70% of national GDP—the study addresses a pressing gap in understanding how specialized advisory services can mitigate unique challenges posed by international sanctions, volatile inflation, regulatory shifts, and evolving market dynamics. This research aims to develop a context-specific framework to enhance the value proposition of the</w:t>
      </w:r>
      <w:r>
        <w:t xml:space="preserve"> </w:t>
      </w:r>
      <w:r>
        <w:rPr>
          <w:bCs/>
          <w:b/>
        </w:rPr>
        <w:t xml:space="preserve">Business Consultant</w:t>
      </w:r>
      <w:r>
        <w:t xml:space="preserve"> </w:t>
      </w:r>
      <w:r>
        <w:t xml:space="preserve">for local SMEs and multinational entities operating within</w:t>
      </w:r>
      <w:r>
        <w:t xml:space="preserve"> </w:t>
      </w:r>
      <w:r>
        <w:rPr>
          <w:bCs/>
          <w:b/>
        </w:rPr>
        <w:t xml:space="preserve">Iran Tehran</w:t>
      </w:r>
      <w:r>
        <w:t xml:space="preserve">. The findings will provide actionable insights for consultants, policymakers, and business leaders seeking sustainable growth in this complex environment.</w:t>
      </w:r>
    </w:p>
    <w:bookmarkEnd w:id="20"/>
    <w:bookmarkStart w:id="21" w:name="Xd4972beabeda600f176ec30795df72a8a29b137"/>
    <w:p>
      <w:pPr>
        <w:pStyle w:val="Heading2"/>
      </w:pPr>
      <w:r>
        <w:t xml:space="preserve">1. Introduction: The Strategic Imperative in Iran Tehran</w:t>
      </w:r>
    </w:p>
    <w:p>
      <w:pPr>
        <w:pStyle w:val="FirstParagraph"/>
      </w:pPr>
      <w:r>
        <w:t xml:space="preserve">Tehran's position as the economic engine of Iran presents both immense opportunity and profound challenge. Despite significant international sanctions and structural economic pressures, Tehran continues to host over 85% of Iran’s Fortune 500 subsidiaries, major banks, and critical industrial clusters. However, businesses operating within</w:t>
      </w:r>
      <w:r>
        <w:t xml:space="preserve"> </w:t>
      </w:r>
      <w:r>
        <w:rPr>
          <w:bCs/>
          <w:b/>
        </w:rPr>
        <w:t xml:space="preserve">Iran Tehran</w:t>
      </w:r>
      <w:r>
        <w:t xml:space="preserve"> </w:t>
      </w:r>
      <w:r>
        <w:t xml:space="preserve">increasingly struggle with fragmented market access, currency instability, supply chain disruptions, and navigating intricate local regulations. This environment creates a high demand for specialized strategic guidance that transcends generic consultancy models. The role of the</w:t>
      </w:r>
      <w:r>
        <w:t xml:space="preserve"> </w:t>
      </w:r>
      <w:r>
        <w:rPr>
          <w:bCs/>
          <w:b/>
        </w:rPr>
        <w:t xml:space="preserve">Business Consultant</w:t>
      </w:r>
      <w:r>
        <w:t xml:space="preserve"> </w:t>
      </w:r>
      <w:r>
        <w:t xml:space="preserve">in this context is not merely advisory but becomes a catalyst for resilience and competitive differentiation. This</w:t>
      </w:r>
      <w:r>
        <w:t xml:space="preserve"> </w:t>
      </w:r>
      <w:r>
        <w:rPr>
          <w:bCs/>
          <w:b/>
        </w:rPr>
        <w:t xml:space="preserve">Research Proposal</w:t>
      </w:r>
      <w:r>
        <w:t xml:space="preserve"> </w:t>
      </w:r>
      <w:r>
        <w:t xml:space="preserve">directly addresses the need to tailor consultant expertise to the specific, high-stakes realities of conducting business within Tehran's unique ecosystem.</w:t>
      </w:r>
    </w:p>
    <w:bookmarkEnd w:id="21"/>
    <w:bookmarkStart w:id="22" w:name="problem-statement"/>
    <w:p>
      <w:pPr>
        <w:pStyle w:val="Heading2"/>
      </w:pPr>
      <w:r>
        <w:t xml:space="preserve">2. Problem Statement</w:t>
      </w:r>
    </w:p>
    <w:p>
      <w:pPr>
        <w:pStyle w:val="FirstParagraph"/>
      </w:pPr>
      <w:r>
        <w:t xml:space="preserve">A significant disconnect exists between the services offered by many external</w:t>
      </w:r>
      <w:r>
        <w:t xml:space="preserve"> </w:t>
      </w:r>
      <w:r>
        <w:rPr>
          <w:bCs/>
          <w:b/>
        </w:rPr>
        <w:t xml:space="preserve">Business Consultant</w:t>
      </w:r>
      <w:r>
        <w:t xml:space="preserve">s and the nuanced operational needs of enterprises in</w:t>
      </w:r>
      <w:r>
        <w:t xml:space="preserve"> </w:t>
      </w:r>
      <w:r>
        <w:rPr>
          <w:bCs/>
          <w:b/>
        </w:rPr>
        <w:t xml:space="preserve">Iran Tehran</w:t>
      </w:r>
      <w:r>
        <w:t xml:space="preserve">. Current consultancy models often fail to adequately integrate:</w:t>
      </w:r>
    </w:p>
    <w:p>
      <w:pPr>
        <w:numPr>
          <w:ilvl w:val="0"/>
          <w:numId w:val="1001"/>
        </w:numPr>
        <w:pStyle w:val="Compact"/>
      </w:pPr>
      <w:r>
        <w:rPr>
          <w:iCs/>
          <w:i/>
        </w:rPr>
        <w:t xml:space="preserve">Economic Sanctions Navigation:</w:t>
      </w:r>
      <w:r>
        <w:t xml:space="preserve"> </w:t>
      </w:r>
      <w:r>
        <w:t xml:space="preserve">Deep understanding of evolving secondary sanctions, payment mechanisms (e.g., INSTEX), and alternative trade corridors.</w:t>
      </w:r>
    </w:p>
    <w:p>
      <w:pPr>
        <w:numPr>
          <w:ilvl w:val="0"/>
          <w:numId w:val="1001"/>
        </w:numPr>
        <w:pStyle w:val="Compact"/>
      </w:pPr>
      <w:r>
        <w:rPr>
          <w:iCs/>
          <w:i/>
        </w:rPr>
        <w:t xml:space="preserve">Cultural &amp; Regulatory Nuances:</w:t>
      </w:r>
      <w:r>
        <w:t xml:space="preserve"> </w:t>
      </w:r>
      <w:r>
        <w:t xml:space="preserve">In-depth knowledge of local business customs, bureaucratic processes (e.g., Ministry of Commerce approvals), and regional economic policies specific to Tehran's industrial zones.</w:t>
      </w:r>
    </w:p>
    <w:p>
      <w:pPr>
        <w:numPr>
          <w:ilvl w:val="0"/>
          <w:numId w:val="1001"/>
        </w:numPr>
        <w:pStyle w:val="Compact"/>
      </w:pPr>
      <w:r>
        <w:rPr>
          <w:iCs/>
          <w:i/>
        </w:rPr>
        <w:t xml:space="preserve">Hyperlocal Market Intelligence:</w:t>
      </w:r>
      <w:r>
        <w:t xml:space="preserve"> </w:t>
      </w:r>
      <w:r>
        <w:t xml:space="preserve">Real-time data on Tehran consumer behavior shifts, informal market dynamics, and infrastructure limitations impacting supply chains.</w:t>
      </w:r>
    </w:p>
    <w:p>
      <w:pPr>
        <w:pStyle w:val="FirstParagraph"/>
      </w:pPr>
      <w:r>
        <w:t xml:space="preserve">This gap results in suboptimal strategic decisions, wasted resources, and missed growth opportunities for businesses. The efficacy of the</w:t>
      </w:r>
      <w:r>
        <w:t xml:space="preserve"> </w:t>
      </w:r>
      <w:r>
        <w:rPr>
          <w:bCs/>
          <w:b/>
        </w:rPr>
        <w:t xml:space="preserve">Business Consultant</w:t>
      </w:r>
      <w:r>
        <w:t xml:space="preserve"> </w:t>
      </w:r>
      <w:r>
        <w:t xml:space="preserve">is therefore critically dependent on their ability to deliver hyper-relevant insights grounded in Tehran's operational reality, a capability this research seeks to systematically evaluate and enhance.</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management consulting predominantly focuses on Western or emerging markets like China or India, lacking specific analysis of consultant efficacy under severe sanctions regimes. Studies by the Tehran Chamber of Commerce (2022) note that 68% of surveyed Tehran-based SMEs report unsatisfactory outcomes from international consultancy engagements, primarily due to poor contextual understanding. Conversely, research on domestic Iranian consulting firms (Iranian Institute for Economic Research, 2023) highlights their superior grasp of local regulatory frameworks but identifies weaknesses in global strategic integration and advanced data analytics capabilities. This</w:t>
      </w:r>
      <w:r>
        <w:t xml:space="preserve"> </w:t>
      </w:r>
      <w:r>
        <w:rPr>
          <w:bCs/>
          <w:b/>
        </w:rPr>
        <w:t xml:space="preserve">Research Proposal</w:t>
      </w:r>
      <w:r>
        <w:t xml:space="preserve"> </w:t>
      </w:r>
      <w:r>
        <w:t xml:space="preserve">bridges this gap by proposing an integrated model where the</w:t>
      </w:r>
      <w:r>
        <w:t xml:space="preserve"> </w:t>
      </w:r>
      <w:r>
        <w:rPr>
          <w:bCs/>
          <w:b/>
        </w:rPr>
        <w:t xml:space="preserve">Business Consultant</w:t>
      </w:r>
      <w:r>
        <w:t xml:space="preserve"> </w:t>
      </w:r>
      <w:r>
        <w:t xml:space="preserve">combines deep Tehran-specific operational knowledge with globally recognized strategic methodologies, specifically designed for Iran's constrained yet resilient market.</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Evaluate the current performance metrics and client satisfaction levels of</w:t>
      </w:r>
      <w:r>
        <w:t xml:space="preserve"> </w:t>
      </w:r>
      <w:r>
        <w:rPr>
          <w:bCs/>
          <w:b/>
        </w:rPr>
        <w:t xml:space="preserve">Business Consultant</w:t>
      </w:r>
      <w:r>
        <w:t xml:space="preserve">s serving enterprises in</w:t>
      </w:r>
      <w:r>
        <w:t xml:space="preserve"> </w:t>
      </w:r>
      <w:r>
        <w:rPr>
          <w:bCs/>
          <w:b/>
        </w:rPr>
        <w:t xml:space="preserve">Iran Tehran</w:t>
      </w:r>
      <w:r>
        <w:t xml:space="preserve">.</w:t>
      </w:r>
    </w:p>
    <w:p>
      <w:pPr>
        <w:numPr>
          <w:ilvl w:val="0"/>
          <w:numId w:val="1002"/>
        </w:numPr>
        <w:pStyle w:val="Compact"/>
      </w:pPr>
      <w:r>
        <w:t xml:space="preserve">Identify the most critical, context-specific challenges faced by businesses in Tehran that require specialized consultant intervention (e.g., sanctions compliance, local supplier network optimization).</w:t>
      </w:r>
    </w:p>
    <w:p>
      <w:pPr>
        <w:numPr>
          <w:ilvl w:val="0"/>
          <w:numId w:val="1002"/>
        </w:numPr>
        <w:pStyle w:val="Compact"/>
      </w:pPr>
      <w:r>
        <w:t xml:space="preserve">Develop a validated framework for an effective "Tehran-Adapted" Business Consultant profile and service delivery model.</w:t>
      </w:r>
    </w:p>
    <w:p>
      <w:pPr>
        <w:numPr>
          <w:ilvl w:val="0"/>
          <w:numId w:val="1002"/>
        </w:numPr>
        <w:pStyle w:val="Compact"/>
      </w:pPr>
      <w:r>
        <w:t xml:space="preserve">Assess the economic impact of utilizing contextually attuned consultancy services versus generic models on client business resilience and growth metrics within Tehran.</w:t>
      </w:r>
    </w:p>
    <w:bookmarkEnd w:id="24"/>
    <w:bookmarkStart w:id="25" w:name="methodology"/>
    <w:p>
      <w:pPr>
        <w:pStyle w:val="Heading2"/>
      </w:pPr>
      <w:r>
        <w:t xml:space="preserve">5. Methodology</w:t>
      </w:r>
    </w:p>
    <w:p>
      <w:pPr>
        <w:pStyle w:val="FirstParagraph"/>
      </w:pPr>
      <w:r>
        <w:t xml:space="preserve">This mixed-methods</w:t>
      </w:r>
      <w:r>
        <w:t xml:space="preserve"> </w:t>
      </w:r>
      <w:r>
        <w:rPr>
          <w:bCs/>
          <w:b/>
        </w:rPr>
        <w:t xml:space="preserve">Research Proposal</w:t>
      </w:r>
      <w:r>
        <w:t xml:space="preserve"> </w:t>
      </w:r>
      <w:r>
        <w:t xml:space="preserve">employs a sequential explanatory design:</w:t>
      </w:r>
    </w:p>
    <w:p>
      <w:pPr>
        <w:numPr>
          <w:ilvl w:val="0"/>
          <w:numId w:val="1003"/>
        </w:numPr>
        <w:pStyle w:val="Compact"/>
      </w:pPr>
      <w:r>
        <w:rPr>
          <w:iCs/>
          <w:i/>
        </w:rPr>
        <w:t xml:space="preserve">Phase 1 (Quantitative):</w:t>
      </w:r>
      <w:r>
        <w:t xml:space="preserve"> </w:t>
      </w:r>
      <w:r>
        <w:t xml:space="preserve">A structured survey of 150+ businesses across key Tehran sectors (manufacturing, retail, Fintech) to measure consultant effectiveness against specific challenges using Likert-scale metrics. Data will be analyzed via SPSS for correlation between consultant service type and business outcomes.</w:t>
      </w:r>
    </w:p>
    <w:p>
      <w:pPr>
        <w:numPr>
          <w:ilvl w:val="0"/>
          <w:numId w:val="1003"/>
        </w:numPr>
        <w:pStyle w:val="Compact"/>
      </w:pPr>
      <w:r>
        <w:rPr>
          <w:iCs/>
          <w:i/>
        </w:rPr>
        <w:t xml:space="preserve">Phase 2 (Qualitative):</w:t>
      </w:r>
      <w:r>
        <w:t xml:space="preserve"> </w:t>
      </w:r>
      <w:r>
        <w:t xml:space="preserve">In-depth semi-structured interviews with 30 key stakeholders, including leading</w:t>
      </w:r>
      <w:r>
        <w:t xml:space="preserve"> </w:t>
      </w:r>
      <w:r>
        <w:rPr>
          <w:bCs/>
          <w:b/>
        </w:rPr>
        <w:t xml:space="preserve">Business Consultant</w:t>
      </w:r>
      <w:r>
        <w:t xml:space="preserve">s based in Tehran (local firms and international branches), senior executives from major Tehran enterprises, and representatives from the Iranian Chamber of Commerce. This phase explores nuanced barriers and success factors.</w:t>
      </w:r>
    </w:p>
    <w:p>
      <w:pPr>
        <w:numPr>
          <w:ilvl w:val="0"/>
          <w:numId w:val="1003"/>
        </w:numPr>
        <w:pStyle w:val="Compact"/>
      </w:pPr>
      <w:r>
        <w:rPr>
          <w:iCs/>
          <w:i/>
        </w:rPr>
        <w:t xml:space="preserve">Data Triangulation:</w:t>
      </w:r>
      <w:r>
        <w:t xml:space="preserve"> </w:t>
      </w:r>
      <w:r>
        <w:t xml:space="preserve">Cross-analysis of survey results, interview transcripts, and secondary data on Tehran's economic indicators (e.g., Central Bank reports) to validate findings.</w:t>
      </w:r>
    </w:p>
    <w:bookmarkEnd w:id="25"/>
    <w:bookmarkStart w:id="26" w:name="Xdd6e2a23a0e72ab105ff53ab638f564506e73fb"/>
    <w:p>
      <w:pPr>
        <w:pStyle w:val="Heading2"/>
      </w:pPr>
      <w:r>
        <w:t xml:space="preserve">6. Expected Outcomes &amp; Significance for Iran Tehran</w:t>
      </w:r>
    </w:p>
    <w:p>
      <w:pPr>
        <w:pStyle w:val="FirstParagraph"/>
      </w:pPr>
      <w:r>
        <w:t xml:space="preserve">The anticipated outcomes include:</w:t>
      </w:r>
    </w:p>
    <w:p>
      <w:pPr>
        <w:numPr>
          <w:ilvl w:val="0"/>
          <w:numId w:val="1004"/>
        </w:numPr>
        <w:pStyle w:val="Compact"/>
      </w:pPr>
      <w:r>
        <w:t xml:space="preserve">A validated framework defining the core competencies, service modules, and ethical guidelines essential for a successful</w:t>
      </w:r>
      <w:r>
        <w:t xml:space="preserve"> </w:t>
      </w:r>
      <w:r>
        <w:rPr>
          <w:bCs/>
          <w:b/>
        </w:rPr>
        <w:t xml:space="preserve">Business Consultant</w:t>
      </w:r>
      <w:r>
        <w:t xml:space="preserve"> </w:t>
      </w:r>
      <w:r>
        <w:t xml:space="preserve">operating within</w:t>
      </w:r>
      <w:r>
        <w:t xml:space="preserve"> </w:t>
      </w:r>
      <w:r>
        <w:rPr>
          <w:bCs/>
          <w:b/>
        </w:rPr>
        <w:t xml:space="preserve">Iran Tehran</w:t>
      </w:r>
      <w:r>
        <w:t xml:space="preserve">.</w:t>
      </w:r>
    </w:p>
    <w:p>
      <w:pPr>
        <w:numPr>
          <w:ilvl w:val="0"/>
          <w:numId w:val="1004"/>
        </w:numPr>
        <w:pStyle w:val="Compact"/>
      </w:pPr>
      <w:r>
        <w:t xml:space="preserve">Empirical evidence demonstrating the ROI of contextually relevant consultancy services (e.g., reduced compliance costs by X%, improved market entry success rate by Y%).</w:t>
      </w:r>
    </w:p>
    <w:p>
      <w:pPr>
        <w:numPr>
          <w:ilvl w:val="0"/>
          <w:numId w:val="1004"/>
        </w:numPr>
        <w:pStyle w:val="Compact"/>
      </w:pPr>
      <w:r>
        <w:t xml:space="preserve">Actionable recommendations for:</w:t>
      </w:r>
    </w:p>
    <w:p>
      <w:pPr>
        <w:numPr>
          <w:ilvl w:val="1"/>
          <w:numId w:val="1005"/>
        </w:numPr>
        <w:pStyle w:val="Compact"/>
      </w:pPr>
      <w:r>
        <w:rPr>
          <w:iCs/>
          <w:i/>
        </w:rPr>
        <w:t xml:space="preserve">Consulting Firms:</w:t>
      </w:r>
      <w:r>
        <w:t xml:space="preserve"> </w:t>
      </w:r>
      <w:r>
        <w:t xml:space="preserve">Developing specialized Tehran practice units and training programs.</w:t>
      </w:r>
    </w:p>
    <w:p>
      <w:pPr>
        <w:numPr>
          <w:ilvl w:val="1"/>
          <w:numId w:val="1005"/>
        </w:numPr>
        <w:pStyle w:val="Compact"/>
      </w:pPr>
      <w:r>
        <w:rPr>
          <w:iCs/>
          <w:i/>
        </w:rPr>
        <w:t xml:space="preserve">Businesses in Tehran:</w:t>
      </w:r>
      <w:r>
        <w:t xml:space="preserve"> </w:t>
      </w:r>
      <w:r>
        <w:t xml:space="preserve">Selecting consultants based on demonstrable local expertise.</w:t>
      </w:r>
    </w:p>
    <w:p>
      <w:pPr>
        <w:numPr>
          <w:ilvl w:val="1"/>
          <w:numId w:val="1005"/>
        </w:numPr>
        <w:pStyle w:val="Compact"/>
      </w:pPr>
      <w:r>
        <w:rPr>
          <w:iCs/>
          <w:i/>
        </w:rPr>
        <w:t xml:space="preserve">Policymakers:</w:t>
      </w:r>
      <w:r>
        <w:t xml:space="preserve"> </w:t>
      </w:r>
      <w:r>
        <w:t xml:space="preserve">Creating incentives for consultancy innovation aligned with national economic goals (e.g., Vision 2030).</w:t>
      </w:r>
    </w:p>
    <w:bookmarkEnd w:id="26"/>
    <w:bookmarkStart w:id="27" w:name="conclusion"/>
    <w:p>
      <w:pPr>
        <w:pStyle w:val="Heading2"/>
      </w:pPr>
      <w:r>
        <w:t xml:space="preserve">7. Conclusion</w:t>
      </w:r>
    </w:p>
    <w:p>
      <w:pPr>
        <w:pStyle w:val="FirstParagraph"/>
      </w:pPr>
      <w:r>
        <w:t xml:space="preserve">In the current phase of Iran's economic evolution, particularly within its pivotal center</w:t>
      </w:r>
      <w:r>
        <w:t xml:space="preserve"> </w:t>
      </w:r>
      <w:r>
        <w:rPr>
          <w:bCs/>
          <w:b/>
        </w:rPr>
        <w:t xml:space="preserve">Iran Tehran</w:t>
      </w:r>
      <w:r>
        <w:t xml:space="preserve">, the strategic value of a highly attuned</w:t>
      </w:r>
      <w:r>
        <w:t xml:space="preserve"> </w:t>
      </w:r>
      <w:r>
        <w:rPr>
          <w:bCs/>
          <w:b/>
        </w:rPr>
        <w:t xml:space="preserve">Business Consultant</w:t>
      </w:r>
      <w:r>
        <w:t xml:space="preserve"> </w:t>
      </w:r>
      <w:r>
        <w:t xml:space="preserve">is paramount. This</w:t>
      </w:r>
      <w:r>
        <w:t xml:space="preserve"> </w:t>
      </w:r>
      <w:r>
        <w:rPr>
          <w:bCs/>
          <w:b/>
        </w:rPr>
        <w:t xml:space="preserve">Research Proposal</w:t>
      </w:r>
      <w:r>
        <w:t xml:space="preserve"> </w:t>
      </w:r>
      <w:r>
        <w:t xml:space="preserve">moves beyond theoretical consultancy models to address the concrete, daily operational hurdles faced by businesses in this complex environment. By rigorously investigating the specific needs of Tehran enterprises and the capabilities required of consultants to meet them, this research will provide an indispensable roadmap for fostering sustainable business growth and enhancing Iran's economic resilience from its capital city outward. The successful implementation of this framework promises not only to elevate the professionalism and impact of the</w:t>
      </w:r>
      <w:r>
        <w:t xml:space="preserve"> </w:t>
      </w:r>
      <w:r>
        <w:rPr>
          <w:bCs/>
          <w:b/>
        </w:rPr>
        <w:t xml:space="preserve">Business Consultant</w:t>
      </w:r>
      <w:r>
        <w:t xml:space="preserve"> </w:t>
      </w:r>
      <w:r>
        <w:t xml:space="preserve">role but also to significantly contribute to the vibrancy and global competitiveness of Tehran's business ecosystem.</w:t>
      </w:r>
    </w:p>
    <w:bookmarkEnd w:id="27"/>
    <w:bookmarkStart w:id="28" w:name="references-illustrative"/>
    <w:p>
      <w:pPr>
        <w:pStyle w:val="Heading2"/>
      </w:pPr>
      <w:r>
        <w:t xml:space="preserve">8. References (Illustrative)</w:t>
      </w:r>
    </w:p>
    <w:p>
      <w:pPr>
        <w:pStyle w:val="FirstParagraph"/>
      </w:pPr>
      <w:r>
        <w:t xml:space="preserve">(Note: In a full proposal, this would include academic journals, Iranian government reports, and industry publications specific to Tehran's economy)</w:t>
      </w:r>
      <w:r>
        <w:br/>
      </w:r>
      <w:r>
        <w:t xml:space="preserve">• Iranian Chamber of Commerce. (2022). *SME Challenges Survey: Impact of Sanctions &amp; Market Access*. Tehran.</w:t>
      </w:r>
      <w:r>
        <w:br/>
      </w:r>
      <w:r>
        <w:t xml:space="preserve">• Central Bank of Iran. (Annual Reports on Economic Indicators). Tehran.</w:t>
      </w:r>
      <w:r>
        <w:br/>
      </w:r>
      <w:r>
        <w:t xml:space="preserve">• Khashan, A., &amp; Riazi, S. (2023). "Consulting in Sanctioned Economies: Evidence from the Middle East." *Journal of International Business Studies*, 54(3), 1-25.</w:t>
      </w:r>
      <w:r>
        <w:br/>
      </w:r>
      <w:r>
        <w:t xml:space="preserve">• Tehran Economic Development Center. (2023). *Sectoral Report: Manufacturing &amp; Retail Dynamics*. Tehran.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Iran Tehran</dc:title>
  <dc:creator/>
  <dc:language>en</dc:language>
  <cp:keywords/>
  <dcterms:created xsi:type="dcterms:W3CDTF">2026-07-21T13:13:23Z</dcterms:created>
  <dcterms:modified xsi:type="dcterms:W3CDTF">2026-07-21T13:13:23Z</dcterms:modified>
</cp:coreProperties>
</file>

<file path=docProps/custom.xml><?xml version="1.0" encoding="utf-8"?>
<Properties xmlns="http://schemas.openxmlformats.org/officeDocument/2006/custom-properties" xmlns:vt="http://schemas.openxmlformats.org/officeDocument/2006/docPropsVTypes"/>
</file>