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Kuwait</w:t>
      </w:r>
      <w:r>
        <w:t xml:space="preserve"> </w:t>
      </w:r>
      <w:r>
        <w:t xml:space="preserve">City</w:t>
      </w:r>
    </w:p>
    <w:bookmarkStart w:id="27" w:name="Xb9e22a44fc71ad3e8bd2f0c9b34a21259c8b029"/>
    <w:p>
      <w:pPr>
        <w:pStyle w:val="Heading1"/>
      </w:pPr>
      <w:r>
        <w:t xml:space="preserve">Research Proposal: Enhancing Business Consultancy Ecosystems for Economic Diversification in Kuwait City</w:t>
      </w:r>
    </w:p>
    <w:bookmarkStart w:id="20" w:name="abstract"/>
    <w:p>
      <w:pPr>
        <w:pStyle w:val="Heading2"/>
      </w:pPr>
      <w:r>
        <w:t xml:space="preserve">Abstract</w:t>
      </w:r>
    </w:p>
    <w:p>
      <w:pPr>
        <w:pStyle w:val="FirstParagraph"/>
      </w:pPr>
      <w:r>
        <w:t xml:space="preserve">This research proposal outlines a comprehensive study on the critical role of the</w:t>
      </w:r>
      <w:r>
        <w:t xml:space="preserve"> </w:t>
      </w:r>
      <w:r>
        <w:rPr>
          <w:bCs/>
          <w:b/>
        </w:rPr>
        <w:t xml:space="preserve">Business Consultant</w:t>
      </w:r>
      <w:r>
        <w:t xml:space="preserve"> </w:t>
      </w:r>
      <w:r>
        <w:t xml:space="preserve">in driving sustainable economic growth within</w:t>
      </w:r>
      <w:r>
        <w:t xml:space="preserve"> </w:t>
      </w:r>
      <w:r>
        <w:rPr>
          <w:bCs/>
          <w:b/>
        </w:rPr>
        <w:t xml:space="preserve">Kuwait City</w:t>
      </w:r>
      <w:r>
        <w:t xml:space="preserve">, Kuwait. With Kuwait Vision 2035 prioritizing private sector development and SME expansion, this project investigates how specialized business consultancy services address systemic challenges faced by local enterprises. The study employs mixed-methods research to evaluate current consultancy practices, identify gaps in service delivery, and propose a culturally attuned framework for enhancing consultant effectiveness specifically within</w:t>
      </w:r>
      <w:r>
        <w:t xml:space="preserve"> </w:t>
      </w:r>
      <w:r>
        <w:rPr>
          <w:bCs/>
          <w:b/>
        </w:rPr>
        <w:t xml:space="preserve">Kuwait City</w:t>
      </w:r>
      <w:r>
        <w:t xml:space="preserve">'s unique socio-economic landscape. Findings will directly inform policymakers, consulting firms, and business leaders seeking to leverage strategic advisory services for national economic transformation.</w:t>
      </w:r>
    </w:p>
    <w:bookmarkEnd w:id="20"/>
    <w:bookmarkStart w:id="21" w:name="Xe3dda00301659b62bb89987dba8a9feb7d700d0"/>
    <w:p>
      <w:pPr>
        <w:pStyle w:val="Heading2"/>
      </w:pPr>
      <w:r>
        <w:t xml:space="preserve">1. Introduction: The Imperative for Strategic Business Consulting in Kuwait City</w:t>
      </w:r>
    </w:p>
    <w:p>
      <w:pPr>
        <w:pStyle w:val="FirstParagraph"/>
      </w:pPr>
      <w:r>
        <w:t xml:space="preserve">Kuwait City stands as the pulsating economic epicenter of Kuwait, housing over 60% of the nation's commercial activity and serving as the primary hub for regional headquarters of multinational corporations. However, despite its strategic position, local businesses—particularly Small and Medium Enterprises (SMEs)—grapple with significant barriers to growth, including complex regulatory environments, limited access to specialized expertise, and challenges in adapting global best practices to Kuwaiti cultural contexts. This is where the</w:t>
      </w:r>
      <w:r>
        <w:t xml:space="preserve"> </w:t>
      </w:r>
      <w:r>
        <w:rPr>
          <w:bCs/>
          <w:b/>
        </w:rPr>
        <w:t xml:space="preserve">Business Consultant</w:t>
      </w:r>
      <w:r>
        <w:t xml:space="preserve"> </w:t>
      </w:r>
      <w:r>
        <w:t xml:space="preserve">becomes indispensable. A qualified</w:t>
      </w:r>
      <w:r>
        <w:t xml:space="preserve"> </w:t>
      </w:r>
      <w:r>
        <w:rPr>
          <w:bCs/>
          <w:b/>
        </w:rPr>
        <w:t xml:space="preserve">Business Consultant</w:t>
      </w:r>
      <w:r>
        <w:t xml:space="preserve"> </w:t>
      </w:r>
      <w:r>
        <w:t xml:space="preserve">provides tailored strategic guidance on market entry, operational efficiency, digital transformation, and compliance—critical needs unmet by generic advisory services. This research directly addresses the urgent need for a localized</w:t>
      </w:r>
      <w:r>
        <w:t xml:space="preserve"> </w:t>
      </w:r>
      <w:r>
        <w:rPr>
          <w:bCs/>
          <w:b/>
        </w:rPr>
        <w:t xml:space="preserve">Business Consultant</w:t>
      </w:r>
      <w:r>
        <w:t xml:space="preserve"> </w:t>
      </w:r>
      <w:r>
        <w:t xml:space="preserve">framework optimized for the dynamic environment of</w:t>
      </w:r>
      <w:r>
        <w:t xml:space="preserve"> </w:t>
      </w:r>
      <w:r>
        <w:rPr>
          <w:bCs/>
          <w:b/>
        </w:rPr>
        <w:t xml:space="preserve">Kuwait City</w:t>
      </w:r>
      <w:r>
        <w:t xml:space="preserve">, moving beyond one-size-fits-all models to deliver actionable insights aligned with Kuwaiti business culture, regulations, and Vision 2035 objectives.</w:t>
      </w:r>
    </w:p>
    <w:bookmarkEnd w:id="21"/>
    <w:bookmarkStart w:id="22" w:name="X1c84a170251d7bae5b252da1a99c59798a00f43"/>
    <w:p>
      <w:pPr>
        <w:pStyle w:val="Heading2"/>
      </w:pPr>
      <w:r>
        <w:t xml:space="preserve">2. Problem Statement: Gaps in Current Business Consultancy Services for Kuwait City</w:t>
      </w:r>
    </w:p>
    <w:p>
      <w:pPr>
        <w:pStyle w:val="FirstParagraph"/>
      </w:pPr>
      <w:r>
        <w:t xml:space="preserve">While consultancy firms operate in Kuwait City, a significant gap exists between available services and the specific needs of local businesses. Key issues include:</w:t>
      </w:r>
    </w:p>
    <w:p>
      <w:pPr>
        <w:numPr>
          <w:ilvl w:val="0"/>
          <w:numId w:val="1001"/>
        </w:numPr>
        <w:pStyle w:val="Compact"/>
      </w:pPr>
      <w:r>
        <w:rPr>
          <w:bCs/>
          <w:b/>
        </w:rPr>
        <w:t xml:space="preserve">Cultural Misalignment:</w:t>
      </w:r>
      <w:r>
        <w:t xml:space="preserve"> </w:t>
      </w:r>
      <w:r>
        <w:t xml:space="preserve">Many international firms lack deep understanding of Kuwaiti business etiquette (*wasta* dynamics, decision-making hierarchies), leading to ineffective recommendations.</w:t>
      </w:r>
    </w:p>
    <w:p>
      <w:pPr>
        <w:numPr>
          <w:ilvl w:val="0"/>
          <w:numId w:val="1001"/>
        </w:numPr>
        <w:pStyle w:val="Compact"/>
      </w:pPr>
      <w:r>
        <w:rPr>
          <w:bCs/>
          <w:b/>
        </w:rPr>
        <w:t xml:space="preserve">Regulatory Complexity:</w:t>
      </w:r>
      <w:r>
        <w:t xml:space="preserve"> </w:t>
      </w:r>
      <w:r>
        <w:t xml:space="preserve">Navigating Kuwait's evolving regulatory framework (e.g., Ministry of Commerce, MOCI requirements) requires hyper-local expertise not consistently provided.</w:t>
      </w:r>
    </w:p>
    <w:p>
      <w:pPr>
        <w:numPr>
          <w:ilvl w:val="0"/>
          <w:numId w:val="1001"/>
        </w:numPr>
        <w:pStyle w:val="Compact"/>
      </w:pPr>
      <w:r>
        <w:rPr>
          <w:bCs/>
          <w:b/>
        </w:rPr>
        <w:t xml:space="preserve">SME Accessibility:</w:t>
      </w:r>
      <w:r>
        <w:t xml:space="preserve"> </w:t>
      </w:r>
      <w:r>
        <w:t xml:space="preserve">Cost and language barriers prevent many Kuwaiti SMEs from accessing high-value consultancy services tailored to their scale.</w:t>
      </w:r>
    </w:p>
    <w:p>
      <w:pPr>
        <w:numPr>
          <w:ilvl w:val="0"/>
          <w:numId w:val="1001"/>
        </w:numPr>
        <w:pStyle w:val="Compact"/>
      </w:pPr>
      <w:r>
        <w:rPr>
          <w:bCs/>
          <w:b/>
        </w:rPr>
        <w:t xml:space="preserve">Short-Term Focus:</w:t>
      </w:r>
      <w:r>
        <w:t xml:space="preserve"> </w:t>
      </w:r>
      <w:r>
        <w:t xml:space="preserve">Services often prioritize quick fixes over sustainable, long-term growth strategies aligned with national diversification goals.</w:t>
      </w:r>
    </w:p>
    <w:p>
      <w:pPr>
        <w:pStyle w:val="FirstParagraph"/>
      </w:pPr>
      <w:r>
        <w:t xml:space="preserve">The absence of a robust, locally validated</w:t>
      </w:r>
      <w:r>
        <w:t xml:space="preserve"> </w:t>
      </w:r>
      <w:r>
        <w:rPr>
          <w:bCs/>
          <w:b/>
        </w:rPr>
        <w:t xml:space="preserve">Business Consultant</w:t>
      </w:r>
      <w:r>
        <w:t xml:space="preserve"> </w:t>
      </w:r>
      <w:r>
        <w:t xml:space="preserve">ecosystem hinders the economic resilience and competitiveness of businesses operating within</w:t>
      </w:r>
      <w:r>
        <w:t xml:space="preserve"> </w:t>
      </w:r>
      <w:r>
        <w:rPr>
          <w:bCs/>
          <w:b/>
        </w:rPr>
        <w:t xml:space="preserve">Kuwait City</w:t>
      </w:r>
      <w:r>
        <w:t xml:space="preserve">, directly impacting Kuwait's broader economic diversification targets.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the current landscape of business consultancy firms serving enterprises in Kuwait City, assessing service relevance and cultural competence.</w:t>
      </w:r>
    </w:p>
    <w:bookmarkEnd w:id="23"/>
    <w:bookmarkStart w:id="24" w:name="methodology"/>
    <w:p>
      <w:pPr>
        <w:pStyle w:val="Heading2"/>
      </w:pPr>
      <w:r>
        <w:t xml:space="preserve">4. Methodology</w:t>
      </w:r>
    </w:p>
    <w:p>
      <w:pPr>
        <w:pStyle w:val="FirstParagraph"/>
      </w:pPr>
      <w:r>
        <w:t xml:space="preserve">The research employs a rigorous mixed-methods approach over 18 months:</w:t>
      </w:r>
    </w:p>
    <w:p>
      <w:pPr>
        <w:numPr>
          <w:ilvl w:val="0"/>
          <w:numId w:val="1003"/>
        </w:numPr>
        <w:pStyle w:val="Compact"/>
      </w:pPr>
      <w:r>
        <w:rPr>
          <w:bCs/>
          <w:b/>
        </w:rPr>
        <w:t xml:space="preserve">Phase 1: Literature &amp; Secondary Analysis (Months 1-3):</w:t>
      </w:r>
      <w:r>
        <w:t xml:space="preserve"> </w:t>
      </w:r>
      <w:r>
        <w:t xml:space="preserve">Review of national economic reports (KISR, Central Bank), consultancy industry benchmarks in GCC, and academic studies on business advisory effectiveness in MENA contexts. Focus on Kuwait City-specific data.</w:t>
      </w:r>
    </w:p>
    <w:p>
      <w:pPr>
        <w:numPr>
          <w:ilvl w:val="0"/>
          <w:numId w:val="1003"/>
        </w:numPr>
        <w:pStyle w:val="Compact"/>
      </w:pPr>
      <w:r>
        <w:rPr>
          <w:bCs/>
          <w:b/>
        </w:rPr>
        <w:t xml:space="preserve">Phase 2: Quantitative Survey (Months 4-6):</w:t>
      </w:r>
      <w:r>
        <w:t xml:space="preserve"> </w:t>
      </w:r>
      <w:r>
        <w:t xml:space="preserve">Online survey targeting 300+ SMEs and mid-sized businesses across key Kuwait City sectors (retail, construction, services, tech) to quantify pain points and consultancy needs.</w:t>
      </w:r>
    </w:p>
    <w:p>
      <w:pPr>
        <w:numPr>
          <w:ilvl w:val="0"/>
          <w:numId w:val="1003"/>
        </w:numPr>
        <w:pStyle w:val="Compact"/>
      </w:pPr>
      <w:r>
        <w:rPr>
          <w:bCs/>
          <w:b/>
        </w:rPr>
        <w:t xml:space="preserve">Phase 3: Qualitative Deep Dives (Months 7-12):</w:t>
      </w:r>
      <w:r>
        <w:t xml:space="preserve"> </w:t>
      </w:r>
      <w:r>
        <w:t xml:space="preserve">In-depth semi-structured interviews with 40+ stakeholders: business owners in Kuwait City; representatives from leading local &amp; international consultancies (e.g., Deloitte Kuwait, local firms); government officials (Ministry of Commerce, KASB). Focus on cultural nuances and service gaps.</w:t>
      </w:r>
    </w:p>
    <w:p>
      <w:pPr>
        <w:numPr>
          <w:ilvl w:val="0"/>
          <w:numId w:val="1003"/>
        </w:numPr>
        <w:pStyle w:val="Compact"/>
      </w:pPr>
      <w:r>
        <w:rPr>
          <w:bCs/>
          <w:b/>
        </w:rPr>
        <w:t xml:space="preserve">Phase 4: Framework Development &amp; Validation (Months 13-18):</w:t>
      </w:r>
      <w:r>
        <w:t xml:space="preserve"> </w:t>
      </w:r>
      <w:r>
        <w:t xml:space="preserve">Synthesis of findings to co-create the Kuwait City Business Consultant Framework with key stakeholders through workshops in Kuwait City. Rigorous validation of proposed models against Vision 2035 KPIs.</w:t>
      </w:r>
    </w:p>
    <w:bookmarkEnd w:id="24"/>
    <w:bookmarkStart w:id="25" w:name="X7bcc152c25505f18e03a887052ab63f36477359"/>
    <w:p>
      <w:pPr>
        <w:pStyle w:val="Heading2"/>
      </w:pPr>
      <w:r>
        <w:t xml:space="preserve">5. Expected Outcomes and Significance for Kuwait City</w:t>
      </w:r>
    </w:p>
    <w:p>
      <w:pPr>
        <w:pStyle w:val="FirstParagraph"/>
      </w:pPr>
      <w:r>
        <w:t xml:space="preserve">This research will deliver:</w:t>
      </w:r>
    </w:p>
    <w:p>
      <w:pPr>
        <w:numPr>
          <w:ilvl w:val="0"/>
          <w:numId w:val="1004"/>
        </w:numPr>
        <w:pStyle w:val="Compact"/>
      </w:pPr>
      <w:r>
        <w:t xml:space="preserve">A validated, culturally-specific Business Consultant Competency Framework tailored explicitly for the Kuwait City business ecosystem, addressing gaps in current practices.</w:t>
      </w:r>
    </w:p>
    <w:p>
      <w:pPr>
        <w:numPr>
          <w:ilvl w:val="0"/>
          <w:numId w:val="1004"/>
        </w:numPr>
        <w:pStyle w:val="Compact"/>
      </w:pPr>
      <w:r>
        <w:t xml:space="preserve">Data-driven insights on the most effective consultancy service models (e.g., sector-specific packages, Arabic-language strategic workshops) for different business sizes in Kuwait City.</w:t>
      </w:r>
    </w:p>
    <w:p>
      <w:pPr>
        <w:numPr>
          <w:ilvl w:val="0"/>
          <w:numId w:val="1004"/>
        </w:numPr>
        <w:pStyle w:val="Compact"/>
      </w:pPr>
      <w:r>
        <w:t xml:space="preserve">Actionable policy briefs for entities like the Ministry of Commerce and Kuwait Investment Authority (KIA) to incentivize high-quality local consultancy development and SME access.</w:t>
      </w:r>
    </w:p>
    <w:p>
      <w:pPr>
        <w:numPr>
          <w:ilvl w:val="0"/>
          <w:numId w:val="1004"/>
        </w:numPr>
        <w:pStyle w:val="Compact"/>
      </w:pPr>
      <w:r>
        <w:t xml:space="preserve">Practical guidelines for consultancies operating in Kuwait City to enhance their relevance, build trust with clients, and demonstrate tangible ROI within the national diversification agenda.</w:t>
      </w:r>
    </w:p>
    <w:p>
      <w:pPr>
        <w:pStyle w:val="FirstParagraph"/>
      </w:pPr>
      <w:r>
        <w:t xml:space="preserve">The significance for</w:t>
      </w:r>
      <w:r>
        <w:t xml:space="preserve"> </w:t>
      </w:r>
      <w:r>
        <w:rPr>
          <w:bCs/>
          <w:b/>
        </w:rPr>
        <w:t xml:space="preserve">Kuwait City</w:t>
      </w:r>
      <w:r>
        <w:t xml:space="preserve"> </w:t>
      </w:r>
      <w:r>
        <w:t xml:space="preserve">is profound. A thriving local</w:t>
      </w:r>
      <w:r>
        <w:t xml:space="preserve"> </w:t>
      </w:r>
      <w:r>
        <w:rPr>
          <w:bCs/>
          <w:b/>
        </w:rPr>
        <w:t xml:space="preserve">Business Consultant</w:t>
      </w:r>
      <w:r>
        <w:t xml:space="preserve"> </w:t>
      </w:r>
      <w:r>
        <w:t xml:space="preserve">sector directly catalyzes SME success, attracts foreign investment by improving the business climate, and accelerates progress toward Kuwait Vision 2035 targets in economic diversification and private sector contribution. This research moves beyond academic interest to deliver a practical roadmap for transforming consultancy services into a core engine of growth within</w:t>
      </w:r>
      <w:r>
        <w:t xml:space="preserve"> </w:t>
      </w:r>
      <w:r>
        <w:rPr>
          <w:bCs/>
          <w:b/>
        </w:rPr>
        <w:t xml:space="preserve">Kuwait City</w:t>
      </w:r>
      <w:r>
        <w:t xml:space="preserve">.</w:t>
      </w:r>
    </w:p>
    <w:bookmarkEnd w:id="25"/>
    <w:bookmarkStart w:id="26" w:name="conclusion"/>
    <w:p>
      <w:pPr>
        <w:pStyle w:val="Heading2"/>
      </w:pPr>
      <w:r>
        <w:t xml:space="preserve">6. Conclusion</w:t>
      </w:r>
    </w:p>
    <w:p>
      <w:pPr>
        <w:pStyle w:val="FirstParagraph"/>
      </w:pPr>
      <w:r>
        <w:t xml:space="preserve">The success of Kuwait's economic transformation hinges significantly on the quality and relevance of strategic advisory services available within its capital. This research proposal addresses the critical need for a localized, effective</w:t>
      </w:r>
      <w:r>
        <w:t xml:space="preserve"> </w:t>
      </w:r>
      <w:r>
        <w:rPr>
          <w:bCs/>
          <w:b/>
        </w:rPr>
        <w:t xml:space="preserve">Business Consultant</w:t>
      </w:r>
      <w:r>
        <w:t xml:space="preserve"> </w:t>
      </w:r>
      <w:r>
        <w:t xml:space="preserve">model designed specifically for the realities of business operations in</w:t>
      </w:r>
      <w:r>
        <w:t xml:space="preserve"> </w:t>
      </w:r>
      <w:r>
        <w:rPr>
          <w:bCs/>
          <w:b/>
        </w:rPr>
        <w:t xml:space="preserve">Kuwait City</w:t>
      </w:r>
      <w:r>
        <w:t xml:space="preserve">. By grounding recommendations in deep contextual understanding—capturing Kuwaiti cultural norms, regulatory intricacies, and the specific challenges of local enterprises—the proposed study promises to generate invaluable knowledge. The outcome will be a practical, evidence-based framework empowering consultants to deliver meaningful value and enabling businesses across</w:t>
      </w:r>
      <w:r>
        <w:t xml:space="preserve"> </w:t>
      </w:r>
      <w:r>
        <w:rPr>
          <w:bCs/>
          <w:b/>
        </w:rPr>
        <w:t xml:space="preserve">Kuwait City</w:t>
      </w:r>
      <w:r>
        <w:t xml:space="preserve"> </w:t>
      </w:r>
      <w:r>
        <w:t xml:space="preserve">to navigate growth more effectively within the national economic strategy. Investing in this research is an investment in building a more resilient, competitive, and diversified Kuwaiti economy centered on its vibrant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Business Consulting for Sustainable Growth in Kuwait City</dc:title>
  <dc:creator/>
  <dc:language>en</dc:language>
  <cp:keywords/>
  <dcterms:created xsi:type="dcterms:W3CDTF">2026-07-23T22:52:15Z</dcterms:created>
  <dcterms:modified xsi:type="dcterms:W3CDTF">2026-07-23T22:52:15Z</dcterms:modified>
</cp:coreProperties>
</file>

<file path=docProps/custom.xml><?xml version="1.0" encoding="utf-8"?>
<Properties xmlns="http://schemas.openxmlformats.org/officeDocument/2006/custom-properties" xmlns:vt="http://schemas.openxmlformats.org/officeDocument/2006/docPropsVTypes"/>
</file>