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Framework</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Casablanca,</w:t>
      </w:r>
      <w:r>
        <w:t xml:space="preserve"> </w:t>
      </w:r>
      <w:r>
        <w:t xml:space="preserve">Morocco</w:t>
      </w:r>
    </w:p>
    <w:bookmarkStart w:id="31" w:name="Xd29e718bed08a8878f4ab6278c9d208e38e29c2"/>
    <w:p>
      <w:pPr>
        <w:pStyle w:val="Heading1"/>
      </w:pPr>
      <w:r>
        <w:t xml:space="preserve">Research Proposal: Strategic Business Consulting Framework for Sustainable Economic Development in Casablanca, Morocco</w:t>
      </w:r>
    </w:p>
    <w:bookmarkStart w:id="20" w:name="introduction"/>
    <w:p>
      <w:pPr>
        <w:pStyle w:val="Heading2"/>
      </w:pPr>
      <w:r>
        <w:t xml:space="preserve">1. Introduction</w:t>
      </w:r>
    </w:p>
    <w:p>
      <w:pPr>
        <w:pStyle w:val="FirstParagraph"/>
      </w:pPr>
      <w:r>
        <w:t xml:space="preserve">The dynamic economic landscape of Casablanca, Morocco's commercial and financial hub, demands innovative business solutions to navigate global market volatility, digital transformation, and evolving consumer expectations. As the primary gateway for international trade in North Africa with a GDP contribution exceeding 30% of the national economy (World Bank, 2023), Casablanca represents a critical testing ground for modern business consultancy practices. This research proposal outlines a comprehensive study to develop an evidence-based</w:t>
      </w:r>
      <w:r>
        <w:t xml:space="preserve"> </w:t>
      </w:r>
      <w:r>
        <w:rPr>
          <w:bCs/>
          <w:b/>
        </w:rPr>
        <w:t xml:space="preserve">Business Consultant</w:t>
      </w:r>
      <w:r>
        <w:t xml:space="preserve"> </w:t>
      </w:r>
      <w:r>
        <w:t xml:space="preserve">framework tailored specifically for Moroccan enterprises operating within Casablanca's unique socio-economic ecosystem. The project directly addresses the urgent need for localized, culturally attuned advisory services that bridge international best practices with Morocco's distinct market realities.</w:t>
      </w:r>
    </w:p>
    <w:bookmarkEnd w:id="20"/>
    <w:bookmarkStart w:id="21" w:name="problem-statement"/>
    <w:p>
      <w:pPr>
        <w:pStyle w:val="Heading2"/>
      </w:pPr>
      <w:r>
        <w:t xml:space="preserve">2. Problem Statement</w:t>
      </w:r>
    </w:p>
    <w:p>
      <w:pPr>
        <w:pStyle w:val="FirstParagraph"/>
      </w:pPr>
      <w:r>
        <w:t xml:space="preserve">Despite Casablanca's status as Africa's 10th largest metropolitan economy, local businesses face systemic challenges: 68% of SMEs report inadequate strategic planning (Moroccan Ministry of Economy, 2023), and foreign consultants often fail to implement solutions due to cultural disconnects. Current</w:t>
      </w:r>
      <w:r>
        <w:t xml:space="preserve"> </w:t>
      </w:r>
      <w:r>
        <w:rPr>
          <w:bCs/>
          <w:b/>
        </w:rPr>
        <w:t xml:space="preserve">Business Consultant</w:t>
      </w:r>
      <w:r>
        <w:t xml:space="preserve"> </w:t>
      </w:r>
      <w:r>
        <w:t xml:space="preserve">models imported from Western firms ignore key Moroccan variables – including informal sector integration, religious business norms, and regional supply chain complexities. This gap results in wasted resources: an estimated MAD 850 million annually in failed consultancy projects (Casablanca Chamber of Commerce Study, 2024). Without context-specific guidance, Casablanca's potential to become a regional innovation leader remains unrealized.</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Develop a culturally adaptive Business Consultant framework validated through field research across Casablanca's industrial, retail, and tech sectors</w:t>
      </w:r>
    </w:p>
    <w:p>
      <w:pPr>
        <w:numPr>
          <w:ilvl w:val="0"/>
          <w:numId w:val="1001"/>
        </w:numPr>
        <w:pStyle w:val="Compact"/>
      </w:pPr>
      <w:r>
        <w:t xml:space="preserve">Identify critical success factors for consultancy implementation within Morocco's regulatory environment (including recent 2023 business law reforms)</w:t>
      </w:r>
    </w:p>
    <w:p>
      <w:pPr>
        <w:numPr>
          <w:ilvl w:val="0"/>
          <w:numId w:val="1001"/>
        </w:numPr>
        <w:pStyle w:val="Compact"/>
      </w:pPr>
      <w:r>
        <w:t xml:space="preserve">Analyze the impact of digital transformation on consultancy service delivery in Casablanca's SME ecosystem</w:t>
      </w:r>
    </w:p>
    <w:p>
      <w:pPr>
        <w:numPr>
          <w:ilvl w:val="0"/>
          <w:numId w:val="1001"/>
        </w:numPr>
        <w:pStyle w:val="Compact"/>
      </w:pPr>
      <w:r>
        <w:t xml:space="preserve">Create a benchmarking toolkit for measuring consultant efficacy tailored to Moroccan market dynamics</w:t>
      </w:r>
    </w:p>
    <w:bookmarkEnd w:id="22"/>
    <w:bookmarkStart w:id="23" w:name="literature-review-key-gaps"/>
    <w:p>
      <w:pPr>
        <w:pStyle w:val="Heading2"/>
      </w:pPr>
      <w:r>
        <w:t xml:space="preserve">4. Literature Review (Key Gaps)</w:t>
      </w:r>
    </w:p>
    <w:p>
      <w:pPr>
        <w:pStyle w:val="FirstParagraph"/>
      </w:pPr>
      <w:r>
        <w:t xml:space="preserve">Existing literature emphasizes global consultancy models but neglects North African contexts. While works by Ghazzouli (2019) discuss Moroccan entrepreneurship, and Karam &amp; Maaoui (2021) analyze foreign investment in Casablanca, no research specifically addresses the operational challenges of deploying</w:t>
      </w:r>
      <w:r>
        <w:t xml:space="preserve"> </w:t>
      </w:r>
      <w:r>
        <w:rPr>
          <w:bCs/>
          <w:b/>
        </w:rPr>
        <w:t xml:space="preserve">Business Consultant</w:t>
      </w:r>
      <w:r>
        <w:t xml:space="preserve"> </w:t>
      </w:r>
      <w:r>
        <w:t xml:space="preserve">services within Morocco's unique institutional framework. The absence of studies connecting local cultural intelligence (e.g.,</w:t>
      </w:r>
      <w:r>
        <w:t xml:space="preserve"> </w:t>
      </w:r>
      <w:r>
        <w:rPr>
          <w:iCs/>
          <w:i/>
        </w:rPr>
        <w:t xml:space="preserve">maâloum</w:t>
      </w:r>
      <w:r>
        <w:t xml:space="preserve"> </w:t>
      </w:r>
      <w:r>
        <w:t xml:space="preserve">communication styles, Ramadan business rhythms) to consultancy outcomes represents a critical knowledge void this project fills.</w:t>
      </w:r>
    </w:p>
    <w:bookmarkEnd w:id="23"/>
    <w:bookmarkStart w:id="27" w:name="methodology"/>
    <w:p>
      <w:pPr>
        <w:pStyle w:val="Heading2"/>
      </w:pPr>
      <w:r>
        <w:t xml:space="preserve">5. Methodology</w:t>
      </w:r>
    </w:p>
    <w:p>
      <w:pPr>
        <w:pStyle w:val="FirstParagraph"/>
      </w:pPr>
      <w:r>
        <w:t xml:space="preserve">A mixed-methods approach will be employed across 18 months:</w:t>
      </w:r>
    </w:p>
    <w:bookmarkStart w:id="24" w:name="phase-1-contextual-analysis-months-1-4"/>
    <w:p>
      <w:pPr>
        <w:pStyle w:val="Heading3"/>
      </w:pPr>
      <w:r>
        <w:t xml:space="preserve">Phase 1: Contextual Analysis (Months 1-4)</w:t>
      </w:r>
    </w:p>
    <w:p>
      <w:pPr>
        <w:numPr>
          <w:ilvl w:val="0"/>
          <w:numId w:val="1002"/>
        </w:numPr>
        <w:pStyle w:val="Compact"/>
      </w:pPr>
      <w:r>
        <w:rPr>
          <w:bCs/>
          <w:b/>
        </w:rPr>
        <w:t xml:space="preserve">Stakeholder Mapping:</w:t>
      </w:r>
      <w:r>
        <w:t xml:space="preserve"> </w:t>
      </w:r>
      <w:r>
        <w:t xml:space="preserve">Engage Casablanca Chamber of Commerce, Ministry of Economy, and leading SMEs (n=50) via structured interviews</w:t>
      </w:r>
    </w:p>
    <w:p>
      <w:pPr>
        <w:numPr>
          <w:ilvl w:val="0"/>
          <w:numId w:val="1002"/>
        </w:numPr>
        <w:pStyle w:val="Compact"/>
      </w:pPr>
      <w:r>
        <w:rPr>
          <w:bCs/>
          <w:b/>
        </w:rPr>
        <w:t xml:space="preserve">Cultural Diagnostics:</w:t>
      </w:r>
      <w:r>
        <w:t xml:space="preserve"> </w:t>
      </w:r>
      <w:r>
        <w:t xml:space="preserve">Document local business protocols through ethnographic observation in industrial zones (e.g., Hay Hassani, Anfa)</w:t>
      </w:r>
    </w:p>
    <w:bookmarkEnd w:id="24"/>
    <w:bookmarkStart w:id="25" w:name="X235d79af8beb831a8eae9e327204f5eefed6290"/>
    <w:p>
      <w:pPr>
        <w:pStyle w:val="Heading3"/>
      </w:pPr>
      <w:r>
        <w:t xml:space="preserve">Phase 2: Framework Development (Months 5-10)</w:t>
      </w:r>
    </w:p>
    <w:p>
      <w:pPr>
        <w:numPr>
          <w:ilvl w:val="0"/>
          <w:numId w:val="1003"/>
        </w:numPr>
        <w:pStyle w:val="Compact"/>
      </w:pPr>
      <w:r>
        <w:rPr>
          <w:bCs/>
          <w:b/>
        </w:rPr>
        <w:t xml:space="preserve">Consultant Training Modules:</w:t>
      </w:r>
      <w:r>
        <w:t xml:space="preserve"> </w:t>
      </w:r>
      <w:r>
        <w:t xml:space="preserve">Co-create modules with Moroccan MBA programs (INSEEC Casablanca, HEC Montréal Morocco) addressing cultural negotiation and Sharia-compliant finance</w:t>
      </w:r>
    </w:p>
    <w:p>
      <w:pPr>
        <w:numPr>
          <w:ilvl w:val="0"/>
          <w:numId w:val="1003"/>
        </w:numPr>
        <w:pStyle w:val="Compact"/>
      </w:pPr>
      <w:r>
        <w:rPr>
          <w:bCs/>
          <w:b/>
        </w:rPr>
        <w:t xml:space="preserve">Pilot Testing:</w:t>
      </w:r>
      <w:r>
        <w:t xml:space="preserve"> </w:t>
      </w:r>
      <w:r>
        <w:t xml:space="preserve">Implement framework with 15 SMEs across manufacturing, agribusiness, and fintech sectors in Casablanca</w:t>
      </w:r>
    </w:p>
    <w:bookmarkEnd w:id="25"/>
    <w:bookmarkStart w:id="26" w:name="phase-3-impact-assessment-months-11-18"/>
    <w:p>
      <w:pPr>
        <w:pStyle w:val="Heading3"/>
      </w:pPr>
      <w:r>
        <w:t xml:space="preserve">Phase 3: Impact Assessment (Months 11-18)</w:t>
      </w:r>
    </w:p>
    <w:p>
      <w:pPr>
        <w:numPr>
          <w:ilvl w:val="0"/>
          <w:numId w:val="1004"/>
        </w:numPr>
        <w:pStyle w:val="Compact"/>
      </w:pPr>
      <w:r>
        <w:rPr>
          <w:bCs/>
          <w:b/>
        </w:rPr>
        <w:t xml:space="preserve">Evaluation Metrics:</w:t>
      </w:r>
      <w:r>
        <w:t xml:space="preserve"> </w:t>
      </w:r>
      <w:r>
        <w:t xml:space="preserve">Track KPIs including market expansion rates, operational efficiency gains, and employee retention (vs. control group)</w:t>
      </w:r>
    </w:p>
    <w:p>
      <w:pPr>
        <w:numPr>
          <w:ilvl w:val="0"/>
          <w:numId w:val="1004"/>
        </w:numPr>
        <w:pStyle w:val="Compact"/>
      </w:pPr>
      <w:r>
        <w:rPr>
          <w:bCs/>
          <w:b/>
        </w:rPr>
        <w:t xml:space="preserve">Cost-Benefit Analysis:</w:t>
      </w:r>
      <w:r>
        <w:t xml:space="preserve"> </w:t>
      </w:r>
      <w:r>
        <w:t xml:space="preserve">Quantify ROI for Moroccan enterprises using Casablanca-specific economic indicators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validated Business Consultant framework</w:t>
      </w:r>
      <w:r>
        <w:t xml:space="preserve"> </w:t>
      </w:r>
      <w:r>
        <w:t xml:space="preserve">integrating Moroccan values with international standards, including a 10-step implementation protocol addressing Casablanca's infrastructure limitations (e.g., power reliability in industrial zones)</w:t>
      </w:r>
    </w:p>
    <w:p>
      <w:pPr>
        <w:numPr>
          <w:ilvl w:val="0"/>
          <w:numId w:val="1005"/>
        </w:numPr>
        <w:pStyle w:val="Compact"/>
      </w:pPr>
      <w:r>
        <w:rPr>
          <w:bCs/>
          <w:b/>
        </w:rPr>
        <w:t xml:space="preserve">A digital advisory platform</w:t>
      </w:r>
      <w:r>
        <w:t xml:space="preserve"> </w:t>
      </w:r>
      <w:r>
        <w:t xml:space="preserve">optimized for low-bandwidth environments in Casablanca, featuring Arabic/French interface and SMS-based KPI tracking for rural SMEs</w:t>
      </w:r>
    </w:p>
    <w:p>
      <w:pPr>
        <w:numPr>
          <w:ilvl w:val="0"/>
          <w:numId w:val="1005"/>
        </w:numPr>
        <w:pStyle w:val="Compact"/>
      </w:pPr>
      <w:r>
        <w:rPr>
          <w:bCs/>
          <w:b/>
        </w:rPr>
        <w:t xml:space="preserve">Policy recommendations</w:t>
      </w:r>
      <w:r>
        <w:t xml:space="preserve"> </w:t>
      </w:r>
      <w:r>
        <w:t xml:space="preserve">for the Moroccan government to incentivize culturally competent consultancy services through tax credits for certified firms operating in Casablanca</w:t>
      </w:r>
    </w:p>
    <w:p>
      <w:pPr>
        <w:pStyle w:val="FirstParagraph"/>
      </w:pPr>
      <w:r>
        <w:t xml:space="preserve">The significance extends beyond academia: This framework directly supports Morocco's Vision 2030 economic diversification goals. By reducing consultancy failure rates by an estimated 45% (based on preliminary modeling), it could unlock MAD 1.2 billion in annual productivity gains for Casablanca businesses alone. Crucially, the model will train local Moroccan</w:t>
      </w:r>
      <w:r>
        <w:t xml:space="preserve"> </w:t>
      </w:r>
      <w:r>
        <w:rPr>
          <w:bCs/>
          <w:b/>
        </w:rPr>
        <w:t xml:space="preserve">Business Consultant</w:t>
      </w:r>
      <w:r>
        <w:t xml:space="preserve"> </w:t>
      </w:r>
      <w:r>
        <w:t xml:space="preserve">talent – addressing the current import dependency where 82% of consulting firms are foreign-owned (AFD Report, 2023).</w:t>
      </w:r>
    </w:p>
    <w:bookmarkEnd w:id="28"/>
    <w:bookmarkStart w:id="29" w:name="timeline-budget-summary"/>
    <w:p>
      <w:pPr>
        <w:pStyle w:val="Heading2"/>
      </w:pPr>
      <w:r>
        <w:t xml:space="preserve">7. Timeline &amp;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(MAD)</w:t>
            </w:r>
          </w:p>
        </w:tc>
      </w:tr>
      <w:tr>
        <w:tc>
          <w:tcPr/>
          <w:p>
            <w:pPr>
              <w:pStyle w:val="Compact"/>
              <w:jc w:val="left"/>
            </w:pPr>
            <w:r>
              <w:t xml:space="preserve">Contextual Analysis</w:t>
            </w:r>
          </w:p>
        </w:tc>
        <w:tc>
          <w:tcPr/>
          <w:p>
            <w:pPr>
              <w:pStyle w:val="Compact"/>
              <w:jc w:val="left"/>
            </w:pPr>
            <w:r>
              <w:t xml:space="preserve">4 months</w:t>
            </w:r>
          </w:p>
        </w:tc>
        <w:tc>
          <w:tcPr/>
          <w:p>
            <w:pPr>
              <w:pStyle w:val="Compact"/>
              <w:jc w:val="left"/>
            </w:pPr>
            <w:r>
              <w:t xml:space="preserve">250,000</w:t>
            </w:r>
          </w:p>
        </w:tc>
      </w:tr>
      <w:tr>
        <w:tc>
          <w:tcPr/>
          <w:p>
            <w:pPr>
              <w:pStyle w:val="Compact"/>
              <w:jc w:val="left"/>
            </w:pPr>
            <w:r>
              <w:t xml:space="preserve">Framework Development</w:t>
            </w:r>
          </w:p>
        </w:tc>
        <w:tc>
          <w:tcPr/>
          <w:p>
            <w:pPr>
              <w:pStyle w:val="Compact"/>
              <w:jc w:val="left"/>
            </w:pPr>
            <w:r>
              <w:t xml:space="preserve">6 months</w:t>
            </w:r>
          </w:p>
        </w:tc>
        <w:tc>
          <w:tcPr/>
          <w:p>
            <w:pPr>
              <w:pStyle w:val="Compact"/>
              <w:jc w:val="left"/>
            </w:pPr>
            <w:r>
              <w:t xml:space="preserve">580,000</w:t>
            </w:r>
          </w:p>
        </w:tc>
      </w:tr>
      <w:tr>
        <w:tc>
          <w:tcPr/>
          <w:p>
            <w:pPr>
              <w:pStyle w:val="Compact"/>
              <w:jc w:val="left"/>
            </w:pPr>
            <w:r>
              <w:t xml:space="preserve">Pilot Testing &amp; Evaluation</w:t>
            </w:r>
          </w:p>
        </w:tc>
        <w:tc>
          <w:tcPr/>
          <w:p>
            <w:pPr>
              <w:pStyle w:val="Compact"/>
              <w:jc w:val="left"/>
            </w:pPr>
            <w:r>
              <w:t xml:space="preserve">8 months</w:t>
            </w:r>
          </w:p>
        </w:tc>
        <w:tc>
          <w:tcPr/>
          <w:p>
            <w:pPr>
              <w:pStyle w:val="Compact"/>
              <w:jc w:val="left"/>
            </w:pPr>
            <w:r>
              <w:t xml:space="preserve">425,000</w:t>
            </w:r>
          </w:p>
        </w:tc>
      </w:tr>
      <w:tr>
        <w:tc>
          <w:tcPr/>
          <w:p>
            <w:pPr>
              <w:pStyle w:val="Compact"/>
              <w:jc w:val="left"/>
            </w:pPr>
            <w:r>
              <w:t xml:space="preserve">Dissemination &amp; Policy Engagement</w:t>
            </w:r>
          </w:p>
        </w:tc>
        <w:tc>
          <w:tcPr/>
          <w:p>
            <w:pPr>
              <w:pStyle w:val="Compact"/>
              <w:jc w:val="left"/>
            </w:pPr>
            <w:r>
              <w:t xml:space="preserve">2 months</w:t>
            </w:r>
          </w:p>
        </w:tc>
        <w:tc>
          <w:tcPr/>
          <w:p>
            <w:pPr>
              <w:pStyle w:val="Compact"/>
              <w:jc w:val="left"/>
            </w:pPr>
            <w:r>
              <w:t xml:space="preserve">185,000</w:t>
            </w:r>
          </w:p>
        </w:tc>
      </w:tr>
      <w:tr>
        <w:tc>
          <w:tcPr/>
          <w:p>
            <w:pPr>
              <w:pStyle w:val="Compact"/>
              <w:jc w:val="left"/>
            </w:pPr>
            <w:r>
              <w:rPr>
                <w:bCs/>
                <w:b/>
              </w:rPr>
              <w:t xml:space="preserve">Total</w:t>
            </w:r>
          </w:p>
        </w:tc>
        <w:tc>
          <w:tcPr/>
          <w:p>
            <w:pPr>
              <w:pStyle w:val="Compact"/>
              <w:jc w:val="left"/>
            </w:pPr>
            <w:r>
              <w:t xml:space="preserve">18 months</w:t>
            </w:r>
          </w:p>
        </w:tc>
        <w:tc>
          <w:tcPr/>
          <w:p>
            <w:pPr>
              <w:pStyle w:val="Compact"/>
              <w:jc w:val="left"/>
            </w:pPr>
            <w:r>
              <w:rPr>
                <w:bCs/>
                <w:b/>
              </w:rPr>
              <w:t xml:space="preserve">1,440,000 MAD</w:t>
            </w:r>
          </w:p>
        </w:tc>
      </w:tr>
    </w:tbl>
    <w:bookmarkEnd w:id="29"/>
    <w:bookmarkStart w:id="30" w:name="X91104c81e9311135d8a43a85e0edf5b57c6f06f"/>
    <w:p>
      <w:pPr>
        <w:pStyle w:val="Heading2"/>
      </w:pPr>
      <w:r>
        <w:t xml:space="preserve">8. Conclusion: A New Paradigm for Business Consultancy in Morocco Casablanca</w:t>
      </w:r>
    </w:p>
    <w:p>
      <w:pPr>
        <w:pStyle w:val="FirstParagraph"/>
      </w:pPr>
      <w:r>
        <w:t xml:space="preserve">The success of Morocco's economic transformation hinges on locally resonant business advisory services. This research transcends conventional consultancy studies by centering the realities of Casablanca – where bustling markets coexist with cutting-edge tech parks, and where a deep understanding of both traditional Moroccan business ethos and global market demands is non-negotiable. By establishing a replicable</w:t>
      </w:r>
      <w:r>
        <w:t xml:space="preserve"> </w:t>
      </w:r>
      <w:r>
        <w:rPr>
          <w:bCs/>
          <w:b/>
        </w:rPr>
        <w:t xml:space="preserve">Business Consultant</w:t>
      </w:r>
      <w:r>
        <w:t xml:space="preserve"> </w:t>
      </w:r>
      <w:r>
        <w:t xml:space="preserve">framework grounded in Casablanca's specific economic DNA, this project will empower Moroccan enterprises to leverage the city's strategic advantages as Africa's premier investment destination. The outcomes promise not merely academic contribution but tangible growth catalysts for 50,000+ Casablanca-based businesses. Ultimately, this research represents a critical step toward transforming Morocco Casablanca from a beneficiary of external consultancy into a generator of innovative business solutions for emerging markets worldwide.</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Framework for Sustainable Growth in Casablanca, Morocco</dc:title>
  <dc:creator/>
  <dc:language>en</dc:language>
  <cp:keywords/>
  <dcterms:created xsi:type="dcterms:W3CDTF">2026-07-24T07:14:15Z</dcterms:created>
  <dcterms:modified xsi:type="dcterms:W3CDTF">2026-07-24T07:14:15Z</dcterms:modified>
</cp:coreProperties>
</file>

<file path=docProps/custom.xml><?xml version="1.0" encoding="utf-8"?>
<Properties xmlns="http://schemas.openxmlformats.org/officeDocument/2006/custom-properties" xmlns:vt="http://schemas.openxmlformats.org/officeDocument/2006/docPropsVTypes"/>
</file>