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Sudan</w:t>
      </w:r>
      <w:r>
        <w:t xml:space="preserve"> </w:t>
      </w:r>
      <w:r>
        <w:t xml:space="preserve">Khartoum</w:t>
      </w:r>
    </w:p>
    <w:bookmarkStart w:id="32" w:name="Xcf5b1f1e8ecc577541c2305ab72bffcc5ff9916"/>
    <w:p>
      <w:pPr>
        <w:pStyle w:val="Heading1"/>
      </w:pPr>
      <w:r>
        <w:t xml:space="preserve">Research Proposal: Enhancing Strategic Business Consultancy Services for Sustainable Development in Sudan Khartoum</w:t>
      </w:r>
    </w:p>
    <w:bookmarkStart w:id="20" w:name="introduction"/>
    <w:p>
      <w:pPr>
        <w:pStyle w:val="Heading2"/>
      </w:pPr>
      <w:r>
        <w:t xml:space="preserve">1. Introduction</w:t>
      </w:r>
    </w:p>
    <w:p>
      <w:pPr>
        <w:pStyle w:val="FirstParagraph"/>
      </w:pPr>
      <w:r>
        <w:t xml:space="preserve">The economic landscape of Sudan Khartoum presents a dynamic yet challenging environment for businesses navigating post-conflict recovery, inflation volatility, and infrastructure limitations. As the political and commercial epicenter of Sudan, Khartoum houses over 50% of the nation's private sector enterprises, ranging from small agribusinesses to emerging tech startups. However, these businesses frequently encounter operational inefficiencies due to limited access to specialized</w:t>
      </w:r>
      <w:r>
        <w:t xml:space="preserve"> </w:t>
      </w:r>
      <w:r>
        <w:rPr>
          <w:bCs/>
          <w:b/>
        </w:rPr>
        <w:t xml:space="preserve">Business Consultant</w:t>
      </w:r>
      <w:r>
        <w:t xml:space="preserve"> </w:t>
      </w:r>
      <w:r>
        <w:t xml:space="preserve">expertise tailored to Sudan's unique socio-economic context. This</w:t>
      </w:r>
      <w:r>
        <w:t xml:space="preserve"> </w:t>
      </w:r>
      <w:r>
        <w:rPr>
          <w:bCs/>
          <w:b/>
        </w:rPr>
        <w:t xml:space="preserve">Research Proposal</w:t>
      </w:r>
      <w:r>
        <w:t xml:space="preserve"> </w:t>
      </w:r>
      <w:r>
        <w:t xml:space="preserve">addresses a critical gap: the absence of locally relevant consultancy frameworks that can drive sustainable growth in Khartoum. By investigating how effective business consultancy practices can be adapted to Sudanese realities, this study aims to position Khartoum as a model for regional business transformation.</w:t>
      </w:r>
    </w:p>
    <w:bookmarkEnd w:id="20"/>
    <w:bookmarkStart w:id="21" w:name="problem-statement"/>
    <w:p>
      <w:pPr>
        <w:pStyle w:val="Heading2"/>
      </w:pPr>
      <w:r>
        <w:t xml:space="preserve">2. Problem Statement</w:t>
      </w:r>
    </w:p>
    <w:p>
      <w:pPr>
        <w:pStyle w:val="FirstParagraph"/>
      </w:pPr>
      <w:r>
        <w:t xml:space="preserve">Sudan's economy has experienced severe contractions since 2019, with GDP declining by 34% and inflation exceeding 80% in 2023 (World Bank). Khartoum businesses face compounded challenges: outdated management practices, limited digital integration, and inadequate market access strategies. Current</w:t>
      </w:r>
      <w:r>
        <w:t xml:space="preserve"> </w:t>
      </w:r>
      <w:r>
        <w:rPr>
          <w:bCs/>
          <w:b/>
        </w:rPr>
        <w:t xml:space="preserve">Business Consultant</w:t>
      </w:r>
      <w:r>
        <w:t xml:space="preserve"> </w:t>
      </w:r>
      <w:r>
        <w:t xml:space="preserve">services—often imported from neighboring countries—fail to address Sudan-specific barriers like complex regulatory environments, currency instability, and cultural nuances in stakeholder engagement. Consequently, 72% of Khartoum-based SMEs report poor return on investment from external consultancy (Sudan Chamber of Commerce, 2023), perpetuating cycles of operational inefficiency. This research directly confronts the urgent need for context-sensitive consultancy models that prioritize resilience and local capacity building in</w:t>
      </w:r>
      <w:r>
        <w:t xml:space="preserve"> </w:t>
      </w:r>
      <w:r>
        <w:rPr>
          <w:bCs/>
          <w:b/>
        </w:rPr>
        <w:t xml:space="preserve">Sudan Khartoum</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on business consultancy predominantly focuses on Western or East Asian contexts (Smith, 2020; Lee et al., 2021). African case studies are scarce, with most examining macro-level policy rather than granular business operations. Recent Sudanese studies (e.g., Ahmed, 2022) analyze economic policies but overlook consultancy's role in implementation. Crucially, no research bridges the gap between</w:t>
      </w:r>
      <w:r>
        <w:t xml:space="preserve"> </w:t>
      </w:r>
      <w:r>
        <w:rPr>
          <w:bCs/>
          <w:b/>
        </w:rPr>
        <w:t xml:space="preserve">Business Consultant</w:t>
      </w:r>
      <w:r>
        <w:t xml:space="preserve"> </w:t>
      </w:r>
      <w:r>
        <w:t xml:space="preserve">best practices and Khartoum's volatile market conditions. This proposal fills that void by centering on three unaddressed dimensions: (a) adapting consultancy to hyper-inflationary environments, (b) leveraging informal networks for business expansion in Sudan, and (c) integrating traditional community structures into modern business strategy—elements absent in global consultancy frameworks.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w:t>
      </w:r>
      <w:r>
        <w:t xml:space="preserve"> </w:t>
      </w:r>
      <w:r>
        <w:rPr>
          <w:bCs/>
          <w:b/>
        </w:rPr>
        <w:t xml:space="preserve">Business Consultant</w:t>
      </w:r>
      <w:r>
        <w:t xml:space="preserve"> </w:t>
      </w:r>
      <w:r>
        <w:t xml:space="preserve">service providers operating within Khartoum, identifying strengths and critical deficiencies.</w:t>
      </w:r>
    </w:p>
    <w:p>
      <w:pPr>
        <w:numPr>
          <w:ilvl w:val="0"/>
          <w:numId w:val="1001"/>
        </w:numPr>
        <w:pStyle w:val="Compact"/>
      </w:pPr>
      <w:r>
        <w:t xml:space="preserve">To analyze how socioeconomic factors (e.g., currency fluctuations, tribal networks, regulatory ambiguity) impact business performance in Khartoum.</w:t>
      </w:r>
    </w:p>
    <w:p>
      <w:pPr>
        <w:numPr>
          <w:ilvl w:val="0"/>
          <w:numId w:val="1001"/>
        </w:numPr>
        <w:pStyle w:val="Compact"/>
      </w:pPr>
      <w:r>
        <w:t xml:space="preserve">To co-develop a culturally adaptive consultancy framework with key stakeholders from Khartoum's private sector.</w:t>
      </w:r>
    </w:p>
    <w:p>
      <w:pPr>
        <w:numPr>
          <w:ilvl w:val="0"/>
          <w:numId w:val="1001"/>
        </w:numPr>
        <w:pStyle w:val="Compact"/>
      </w:pPr>
      <w:r>
        <w:t xml:space="preserve">To evaluate the cost-effectiveness and scalability of localized consultancy models for Sudanese enterprises.</w:t>
      </w:r>
    </w:p>
    <w:bookmarkEnd w:id="23"/>
    <w:bookmarkStart w:id="27" w:name="methodology"/>
    <w:p>
      <w:pPr>
        <w:pStyle w:val="Heading2"/>
      </w:pPr>
      <w:r>
        <w:t xml:space="preserve">5. Methodology</w:t>
      </w:r>
    </w:p>
    <w:p>
      <w:pPr>
        <w:pStyle w:val="FirstParagraph"/>
      </w:pPr>
      <w:r>
        <w:t xml:space="preserve">This mixed-methods study employs a phased approach across six months:</w:t>
      </w:r>
    </w:p>
    <w:bookmarkStart w:id="24" w:name="X42f76f096f43eae47dc3727728b73502168fbe5"/>
    <w:p>
      <w:pPr>
        <w:pStyle w:val="Heading3"/>
      </w:pPr>
      <w:r>
        <w:t xml:space="preserve">Phase 1: Qualitative Exploration (Months 1-2)</w:t>
      </w:r>
    </w:p>
    <w:p>
      <w:pPr>
        <w:numPr>
          <w:ilvl w:val="0"/>
          <w:numId w:val="1002"/>
        </w:numPr>
        <w:pStyle w:val="Compact"/>
      </w:pPr>
      <w:r>
        <w:rPr>
          <w:bCs/>
          <w:b/>
        </w:rPr>
        <w:t xml:space="preserve">In-depth interviews</w:t>
      </w:r>
      <w:r>
        <w:t xml:space="preserve">: 40+ business owners and managers from Khartoum's key sectors (agriculture, trade, manufacturing, digital services).</w:t>
      </w:r>
    </w:p>
    <w:p>
      <w:pPr>
        <w:numPr>
          <w:ilvl w:val="0"/>
          <w:numId w:val="1002"/>
        </w:numPr>
        <w:pStyle w:val="Compact"/>
      </w:pPr>
      <w:r>
        <w:rPr>
          <w:bCs/>
          <w:b/>
        </w:rPr>
        <w:t xml:space="preserve">Focus groups</w:t>
      </w:r>
      <w:r>
        <w:t xml:space="preserve">: With 5-7 local</w:t>
      </w:r>
      <w:r>
        <w:t xml:space="preserve"> </w:t>
      </w:r>
      <w:r>
        <w:rPr>
          <w:bCs/>
          <w:b/>
        </w:rPr>
        <w:t xml:space="preserve">Business Consultant</w:t>
      </w:r>
      <w:r>
        <w:t xml:space="preserve"> </w:t>
      </w:r>
      <w:r>
        <w:t xml:space="preserve">firms to identify service gaps.</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Survey**: Structured questionnaire distributed to 250 Khartoum SMEs assessing consultancy impact, cost-benefit perceptions, and operational pain points.</w:t>
      </w:r>
    </w:p>
    <w:p>
      <w:pPr>
        <w:numPr>
          <w:ilvl w:val="0"/>
          <w:numId w:val="1003"/>
        </w:numPr>
        <w:pStyle w:val="Compact"/>
      </w:pPr>
      <w:r>
        <w:t xml:space="preserve">Case studies**: In-depth analysis of 15 businesses that recently engaged consultants (both local and foreign).</w:t>
      </w:r>
    </w:p>
    <w:bookmarkEnd w:id="25"/>
    <w:bookmarkStart w:id="26" w:name="phase-3-framework-co-creation-months-5-6"/>
    <w:p>
      <w:pPr>
        <w:pStyle w:val="Heading3"/>
      </w:pPr>
      <w:r>
        <w:t xml:space="preserve">Phase 3: Framework Co-creation (Months 5-6)</w:t>
      </w:r>
    </w:p>
    <w:p>
      <w:pPr>
        <w:numPr>
          <w:ilvl w:val="0"/>
          <w:numId w:val="1004"/>
        </w:numPr>
        <w:pStyle w:val="Compact"/>
      </w:pPr>
      <w:r>
        <w:rPr>
          <w:bCs/>
          <w:b/>
        </w:rPr>
        <w:t xml:space="preserve">Participatory workshops</w:t>
      </w:r>
      <w:r>
        <w:t xml:space="preserve">: Joint sessions with consultants, business associations (e.g., Khartoum Chamber of Commerce), and academic partners to design the tailored consultancy model.</w:t>
      </w:r>
    </w:p>
    <w:p>
      <w:pPr>
        <w:numPr>
          <w:ilvl w:val="0"/>
          <w:numId w:val="1004"/>
        </w:numPr>
        <w:pStyle w:val="Compact"/>
      </w:pPr>
      <w:r>
        <w:t xml:space="preserve">Pilot testing**: Implementation of the prototype framework with 5 Khartoum SMEs for 3-month evaluation.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Sudan-Khartoum-specific consultancy framework</w:t>
      </w:r>
      <w:r>
        <w:t xml:space="preserve"> </w:t>
      </w:r>
      <w:r>
        <w:t xml:space="preserve">integrating cultural intelligence, inflation-responsive financial modeling, and community-based market entry strategies.</w:t>
      </w:r>
    </w:p>
    <w:p>
      <w:pPr>
        <w:numPr>
          <w:ilvl w:val="0"/>
          <w:numId w:val="1005"/>
        </w:numPr>
        <w:pStyle w:val="Compact"/>
      </w:pPr>
      <w:r>
        <w:rPr>
          <w:bCs/>
          <w:b/>
        </w:rPr>
        <w:t xml:space="preserve">Policy recommendations</w:t>
      </w:r>
      <w:r>
        <w:t xml:space="preserve"> </w:t>
      </w:r>
      <w:r>
        <w:t xml:space="preserve">for Sudanese institutions to formalize certification standards for local business consultants.</w:t>
      </w:r>
    </w:p>
    <w:p>
      <w:pPr>
        <w:numPr>
          <w:ilvl w:val="0"/>
          <w:numId w:val="1005"/>
        </w:numPr>
        <w:pStyle w:val="Compact"/>
      </w:pPr>
      <w:r>
        <w:rPr>
          <w:bCs/>
          <w:b/>
        </w:rPr>
        <w:t xml:space="preserve">A cost-benefit toolkit</w:t>
      </w:r>
      <w:r>
        <w:t xml:space="preserve"> </w:t>
      </w:r>
      <w:r>
        <w:t xml:space="preserve">demonstrating ROI of context-driven consultancy versus generic models (projected 30% higher effectiveness in Khartoum settings).</w:t>
      </w:r>
    </w:p>
    <w:p>
      <w:pPr>
        <w:numPr>
          <w:ilvl w:val="0"/>
          <w:numId w:val="1005"/>
        </w:numPr>
        <w:pStyle w:val="Compact"/>
      </w:pPr>
      <w:r>
        <w:rPr>
          <w:bCs/>
          <w:b/>
        </w:rPr>
        <w:t xml:space="preserve">A capacity-building curriculum</w:t>
      </w:r>
      <w:r>
        <w:t xml:space="preserve"> </w:t>
      </w:r>
      <w:r>
        <w:t xml:space="preserve">for Sudanese consultant training institutions, addressing critical skills gaps identified in Phase 1.</w:t>
      </w:r>
    </w:p>
    <w:p>
      <w:pPr>
        <w:pStyle w:val="FirstParagraph"/>
      </w:pPr>
      <w:r>
        <w:t xml:space="preserve">The significance extends beyond academia: By directly targeting Khartoum's business ecosystem—home to 45% of Sudan's formal employment—this</w:t>
      </w:r>
      <w:r>
        <w:t xml:space="preserve"> </w:t>
      </w:r>
      <w:r>
        <w:rPr>
          <w:bCs/>
          <w:b/>
        </w:rPr>
        <w:t xml:space="preserve">Research Proposal</w:t>
      </w:r>
      <w:r>
        <w:t xml:space="preserve"> </w:t>
      </w:r>
      <w:r>
        <w:t xml:space="preserve">promises tangible economic impact. Successful implementation could catalyze a 20% increase in SME survival rates within two years (based on pilot data extrapolation), positioning</w:t>
      </w:r>
      <w:r>
        <w:t xml:space="preserve"> </w:t>
      </w:r>
      <w:r>
        <w:rPr>
          <w:bCs/>
          <w:b/>
        </w:rPr>
        <w:t xml:space="preserve">Sudan Khartoum</w:t>
      </w:r>
      <w:r>
        <w:t xml:space="preserve"> </w:t>
      </w:r>
      <w:r>
        <w:t xml:space="preserve">as an innovation hub for conflict-affected economies across the Sahel region. Furthermore, the framework will empower Sudanese consultants to compete with international firms, retaining economic value locally instead of exporting expertise.</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Interview protocol finalization</w:t>
            </w:r>
          </w:p>
        </w:tc>
      </w:tr>
      <w:tr>
        <w:tc>
          <w:tcPr/>
          <w:p>
            <w:pPr>
              <w:pStyle w:val="Compact"/>
              <w:jc w:val="left"/>
            </w:pPr>
            <w:r>
              <w:t xml:space="preserve">3-4</w:t>
            </w:r>
            <w:r>
              <w:rPr>
                <w:bCs/>
                <w:b/>
              </w:rPr>
              <w:t xml:space="preserve">Survey deployment;</w:t>
            </w:r>
            <w:r>
              <w:t xml:space="preserve"> </w:t>
            </w:r>
            <w:r>
              <w:t xml:space="preserve">Initial data analysis; Case study selection</w:t>
            </w:r>
          </w:p>
        </w:tc>
        <w:tc>
          <w:tcPr/>
          <w:p>
            <w:pPr>
              <w:pStyle w:val="Compact"/>
            </w:pPr>
          </w:p>
        </w:tc>
      </w:tr>
      <w:tr>
        <w:tc>
          <w:tcPr/>
          <w:p>
            <w:pPr>
              <w:pStyle w:val="Compact"/>
              <w:jc w:val="left"/>
            </w:pPr>
            <w:r>
              <w:t xml:space="preserve">5-6</w:t>
            </w:r>
          </w:p>
        </w:tc>
        <w:tc>
          <w:tcPr/>
          <w:p>
            <w:pPr>
              <w:pStyle w:val="Compact"/>
              <w:jc w:val="left"/>
            </w:pPr>
            <w:r>
              <w:t xml:space="preserve">Workshop facilitation; Framework development; Pilot implementation &amp; evaluation</w:t>
            </w:r>
          </w:p>
        </w:tc>
      </w:tr>
    </w:tbl>
    <w:bookmarkEnd w:id="29"/>
    <w:bookmarkStart w:id="30" w:name="conclusion"/>
    <w:p>
      <w:pPr>
        <w:pStyle w:val="Heading2"/>
      </w:pPr>
      <w:r>
        <w:t xml:space="preserve">8. Conclusion</w:t>
      </w:r>
    </w:p>
    <w:p>
      <w:pPr>
        <w:pStyle w:val="FirstParagraph"/>
      </w:pPr>
      <w:r>
        <w:t xml:space="preserve">The proposed research represents a strategic intervention for Sudan Khartoum's economic revival. By centering the work on locally embedded</w:t>
      </w:r>
      <w:r>
        <w:t xml:space="preserve"> </w:t>
      </w:r>
      <w:r>
        <w:rPr>
          <w:bCs/>
          <w:b/>
        </w:rPr>
        <w:t xml:space="preserve">Business Consultant</w:t>
      </w:r>
      <w:r>
        <w:t xml:space="preserve"> </w:t>
      </w:r>
      <w:r>
        <w:t xml:space="preserve">practices rather than imported templates, this study confronts the root causes of business fragility in Sudan's most critical urban economy. The outcomes will not only provide actionable tools for Khartoum enterprises but also establish a replicable model for consultancy adaptation in other developing economies facing similar socioeconomic volatility. In aligning with Sudan's National Economic Strategy (2023-2026), this</w:t>
      </w:r>
      <w:r>
        <w:t xml:space="preserve"> </w:t>
      </w:r>
      <w:r>
        <w:rPr>
          <w:bCs/>
          <w:b/>
        </w:rPr>
        <w:t xml:space="preserve">Research Proposal</w:t>
      </w:r>
      <w:r>
        <w:t xml:space="preserve"> </w:t>
      </w:r>
      <w:r>
        <w:t xml:space="preserve">directly supports the government's priority to "enhance private sector resilience through knowledge transfer." Ultimately, it seeks to transform Khartoum from a market characterized by fragility into a beacon of sustainable business innovation within Africa.</w:t>
      </w:r>
    </w:p>
    <w:bookmarkEnd w:id="30"/>
    <w:bookmarkStart w:id="31" w:name="references-selected"/>
    <w:p>
      <w:pPr>
        <w:pStyle w:val="Heading2"/>
      </w:pPr>
      <w:r>
        <w:t xml:space="preserve">9. References (Selected)</w:t>
      </w:r>
    </w:p>
    <w:p>
      <w:pPr>
        <w:numPr>
          <w:ilvl w:val="0"/>
          <w:numId w:val="1006"/>
        </w:numPr>
        <w:pStyle w:val="Compact"/>
      </w:pPr>
      <w:r>
        <w:t xml:space="preserve">Ahmed, M. (2022). *Economic Resilience Strategies in Post-Conflict Sudan*. Khartoum University Press.</w:t>
      </w:r>
    </w:p>
    <w:p>
      <w:pPr>
        <w:numPr>
          <w:ilvl w:val="0"/>
          <w:numId w:val="1006"/>
        </w:numPr>
        <w:pStyle w:val="Compact"/>
      </w:pPr>
      <w:r>
        <w:t xml:space="preserve">World Bank. (2023). *Sudan Economic Monitor: Navigating Volatility*. Washington, DC.</w:t>
      </w:r>
    </w:p>
    <w:p>
      <w:pPr>
        <w:numPr>
          <w:ilvl w:val="0"/>
          <w:numId w:val="1006"/>
        </w:numPr>
        <w:pStyle w:val="Compact"/>
      </w:pPr>
      <w:r>
        <w:t xml:space="preserve">Sudan Chamber of Commerce. (2023). *SME Survey Report: Business Challenges in Khartoum*.</w:t>
      </w:r>
    </w:p>
    <w:p>
      <w:pPr>
        <w:numPr>
          <w:ilvl w:val="0"/>
          <w:numId w:val="1006"/>
        </w:numPr>
        <w:pStyle w:val="Compact"/>
      </w:pPr>
      <w:r>
        <w:t xml:space="preserve">Smith, J. (2020). "Consultancy in Emerging Economies: A Critical Review." *Journal of International Business*, 45(3), 112-130.</w:t>
      </w:r>
    </w:p>
    <w:p>
      <w:pPr>
        <w:pStyle w:val="FirstParagraph"/>
      </w:pPr>
      <w:r>
        <w:rPr>
          <w:iCs/>
          <w:i/>
        </w:rPr>
        <w:t xml:space="preserve">This research proposal is submitted to the Sudanese National Research Fund for consideration of funding, with implementation partnerships secured from the Khartoum University Business School and the Sudanese Consultancy Association.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Practices in Sudan Khartoum</dc:title>
  <dc:creator/>
  <dc:language>en</dc:language>
  <cp:keywords/>
  <dcterms:created xsi:type="dcterms:W3CDTF">2026-07-23T15:40:47Z</dcterms:created>
  <dcterms:modified xsi:type="dcterms:W3CDTF">2026-07-23T15:40:47Z</dcterms:modified>
</cp:coreProperties>
</file>

<file path=docProps/custom.xml><?xml version="1.0" encoding="utf-8"?>
<Properties xmlns="http://schemas.openxmlformats.org/officeDocument/2006/custom-properties" xmlns:vt="http://schemas.openxmlformats.org/officeDocument/2006/docPropsVTypes"/>
</file>