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7bfa4399379ad385963fe23fced04952fe81931"/>
    <w:p>
      <w:pPr>
        <w:pStyle w:val="Heading1"/>
      </w:pPr>
      <w:r>
        <w:t xml:space="preserve">Research Proposal: Enhancing Strategic Business Agility through Specialized Consulting Services in the United Arab Emirates Abu Dhabi Context</w:t>
      </w:r>
    </w:p>
    <w:bookmarkStart w:id="20" w:name="abstract"/>
    <w:p>
      <w:pPr>
        <w:pStyle w:val="Heading2"/>
      </w:pPr>
      <w:r>
        <w:t xml:space="preserve">Abstract</w:t>
      </w:r>
    </w:p>
    <w:p>
      <w:pPr>
        <w:pStyle w:val="FirstParagraph"/>
      </w:pPr>
      <w:r>
        <w:t xml:space="preserve">This research proposal investigates the critical role of specialized Business Consultant services within the dynamic economic landscape of Abu Dhabi, United Arab Emirates. As Abu Dhabi accelerates its non-oil economic diversification under Vision 2030 and the UAE's broader National Strategy, businesses face complex challenges requiring tailored expertise. This study aims to analyze how effective Business Consultant engagement directly impacts organizational performance, compliance navigation, and sustainable growth in the Abu Dhabi market. The research will employ mixed-methods analysis to develop a framework for optimizing consultant selection and utilization specific to Abu Dhabi's unique regulatory and cultural environment.</w:t>
      </w:r>
    </w:p>
    <w:bookmarkEnd w:id="20"/>
    <w:bookmarkStart w:id="21" w:name="X91c98c53afc3bfe4185023e966c2e9cadc4d8fc"/>
    <w:p>
      <w:pPr>
        <w:pStyle w:val="Heading2"/>
      </w:pPr>
      <w:r>
        <w:t xml:space="preserve">1. Introduction: The Strategic Imperative for Business Consultants in Abu Dhabi</w:t>
      </w:r>
    </w:p>
    <w:p>
      <w:pPr>
        <w:pStyle w:val="FirstParagraph"/>
      </w:pPr>
      <w:r>
        <w:t xml:space="preserve">The United Arab Emirates, particularly the emirate of Abu Dhabi, is undergoing an unprecedented economic transformation. Driven by Vision 2030 and initiatives like the Abu Dhabi Economic Vision 2030, the focus has shifted decisively towards knowledge-based industries, tourism, technology, and sustainable development. This rapid evolution creates a significant demand for specialized Business Consultant expertise that can navigate Abu Dhabi's complex regulatory ecosystem (including DED licensing, free zone regulations like MASDAR CITY and TADWEER), cultural nuances of Gulf business practices, and alignment with national strategic objectives. Unlike generic consulting services, effective Business Consultants in the United Arab Emirates Abu Dhabi context must possess deep local market intelligence coupled with global best practices. This research proposal directly addresses the gap in understanding how to strategically leverage such consultancy services for maximum impact within this specific jurisdiction.</w:t>
      </w:r>
    </w:p>
    <w:bookmarkEnd w:id="21"/>
    <w:bookmarkStart w:id="22" w:name="problem-statement"/>
    <w:p>
      <w:pPr>
        <w:pStyle w:val="Heading2"/>
      </w:pPr>
      <w:r>
        <w:t xml:space="preserve">2. Problem Statement</w:t>
      </w:r>
    </w:p>
    <w:p>
      <w:pPr>
        <w:pStyle w:val="FirstParagraph"/>
      </w:pPr>
      <w:r>
        <w:t xml:space="preserve">Abu Dhabi businesses, both multinational corporations and indigenous enterprises, frequently encounter operational inefficiencies, compliance risks, and strategic misalignment due to insufficient local market knowledge. Many organizations struggle with:</w:t>
      </w:r>
    </w:p>
    <w:p>
      <w:pPr>
        <w:numPr>
          <w:ilvl w:val="0"/>
          <w:numId w:val="1001"/>
        </w:numPr>
        <w:pStyle w:val="Compact"/>
      </w:pPr>
      <w:r>
        <w:t xml:space="preserve">Navigating the intricate Abu Dhabi Department of Economic Development (DED) framework and new Federal Business Licensing Law</w:t>
      </w:r>
    </w:p>
    <w:p>
      <w:pPr>
        <w:numPr>
          <w:ilvl w:val="0"/>
          <w:numId w:val="1001"/>
        </w:numPr>
        <w:pStyle w:val="Compact"/>
      </w:pPr>
      <w:r>
        <w:t xml:space="preserve">Implementing culturally appropriate management practices for diverse workforces common in Abu Dhabi</w:t>
      </w:r>
    </w:p>
    <w:p>
      <w:pPr>
        <w:numPr>
          <w:ilvl w:val="0"/>
          <w:numId w:val="1001"/>
        </w:numPr>
        <w:pStyle w:val="Compact"/>
      </w:pPr>
      <w:r>
        <w:t xml:space="preserve">Aligning business strategies with Abu Dhabi-specific government initiatives (e.g., ADNOC's downstream expansion, Mubadala's portfolio diversification)</w:t>
      </w:r>
    </w:p>
    <w:p>
      <w:pPr>
        <w:numPr>
          <w:ilvl w:val="0"/>
          <w:numId w:val="1001"/>
        </w:numPr>
        <w:pStyle w:val="Compact"/>
      </w:pPr>
      <w:r>
        <w:t xml:space="preserve">Overcoming the lack of standardized local business consultancy frameworks</w:t>
      </w:r>
    </w:p>
    <w:p>
      <w:pPr>
        <w:pStyle w:val="FirstParagraph"/>
      </w:pPr>
      <w:r>
        <w:t xml:space="preserve">Without specialized Business Consultant guidance tailored to Abu Dhabi, organizations risk costly delays, regulatory penalties, and missed opportunities in a market where government partnership is paramount. This research will provide actionable insights to bridge this gap.</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Business Consultant service providers operating within the United Arab Emirates Abu Dhabi jurisdiction, assessing their specializations and market penetration.</w:t>
      </w:r>
    </w:p>
    <w:p>
      <w:pPr>
        <w:numPr>
          <w:ilvl w:val="0"/>
          <w:numId w:val="1002"/>
        </w:numPr>
        <w:pStyle w:val="Compact"/>
      </w:pPr>
      <w:r>
        <w:t xml:space="preserve">To identify the most critical challenges faced by Abu Dhabi-based organizations that require specialized Business Consultant intervention (e.g., compliance, strategic planning, digital transformation).</w:t>
      </w:r>
    </w:p>
    <w:p>
      <w:pPr>
        <w:numPr>
          <w:ilvl w:val="0"/>
          <w:numId w:val="1002"/>
        </w:numPr>
        <w:pStyle w:val="Compact"/>
      </w:pPr>
      <w:r>
        <w:t xml:space="preserve">To evaluate the quantifiable impact of effective Business Consultant engagement on key performance indicators (KPIs) such as time-to-market, regulatory compliance success rates, operational efficiency gains, and revenue growth within Abu Dhabi enterprises.</w:t>
      </w:r>
    </w:p>
    <w:p>
      <w:pPr>
        <w:numPr>
          <w:ilvl w:val="0"/>
          <w:numId w:val="1002"/>
        </w:numPr>
        <w:pStyle w:val="Compact"/>
      </w:pPr>
      <w:r>
        <w:t xml:space="preserve">To develop a validated framework for selecting and utilizing the most appropriate Business Consultant services specific to Abu Dhabi's unique business environment and strategic priorities.</w:t>
      </w:r>
    </w:p>
    <w:bookmarkEnd w:id="23"/>
    <w:bookmarkStart w:id="24" w:name="methodology"/>
    <w:p>
      <w:pPr>
        <w:pStyle w:val="Heading2"/>
      </w:pPr>
      <w:r>
        <w:t xml:space="preserve">4. Methodology</w:t>
      </w:r>
    </w:p>
    <w:p>
      <w:pPr>
        <w:pStyle w:val="FirstParagraph"/>
      </w:pPr>
      <w:r>
        <w:t xml:space="preserve">This research will employ a rigorous mixed-methods approach designed specifically for the United Arab Emirates Abu Dhabi context:</w:t>
      </w:r>
    </w:p>
    <w:p>
      <w:pPr>
        <w:numPr>
          <w:ilvl w:val="0"/>
          <w:numId w:val="1003"/>
        </w:numPr>
        <w:pStyle w:val="Compact"/>
      </w:pPr>
      <w:r>
        <w:rPr>
          <w:bCs/>
          <w:b/>
        </w:rPr>
        <w:t xml:space="preserve">Phase 1: Comprehensive Literature Review &amp; Regulatory Analysis:</w:t>
      </w:r>
      <w:r>
        <w:t xml:space="preserve"> </w:t>
      </w:r>
      <w:r>
        <w:t xml:space="preserve">Synthesis of UAE federal and Abu Dhabi emirate-specific business regulations, Vision 2030 documents, and existing academic research on consulting efficacy in emerging Gulf markets.</w:t>
      </w:r>
    </w:p>
    <w:p>
      <w:pPr>
        <w:numPr>
          <w:ilvl w:val="0"/>
          <w:numId w:val="1003"/>
        </w:numPr>
        <w:pStyle w:val="Compact"/>
      </w:pPr>
      <w:r>
        <w:rPr>
          <w:bCs/>
          <w:b/>
        </w:rPr>
        <w:t xml:space="preserve">Phase 2: Qualitative Stakeholder Interviews:</w:t>
      </w:r>
      <w:r>
        <w:t xml:space="preserve"> </w:t>
      </w:r>
      <w:r>
        <w:t xml:space="preserve">In-depth interviews (n=30) with key decision-makers from diverse Abu Dhabi entities (large corporations like ADNOC, Mubadala; SMEs; government entities like DED and Abu Dhabi Global Market - ADGM). Focus on pain points and consultant impact.</w:t>
      </w:r>
    </w:p>
    <w:p>
      <w:pPr>
        <w:numPr>
          <w:ilvl w:val="0"/>
          <w:numId w:val="1003"/>
        </w:numPr>
        <w:pStyle w:val="Compact"/>
      </w:pPr>
      <w:r>
        <w:rPr>
          <w:bCs/>
          <w:b/>
        </w:rPr>
        <w:t xml:space="preserve">Phase 3: Quantitative Survey:</w:t>
      </w:r>
      <w:r>
        <w:t xml:space="preserve"> </w:t>
      </w:r>
      <w:r>
        <w:t xml:space="preserve">Structured online survey distributed to 200+ businesses operating in Abu Dhabi (via Chambers of Commerce, business associations) measuring consultant utilization rates, perceived value, and KPI correlations.</w:t>
      </w:r>
    </w:p>
    <w:p>
      <w:pPr>
        <w:numPr>
          <w:ilvl w:val="0"/>
          <w:numId w:val="1003"/>
        </w:numPr>
        <w:pStyle w:val="Compact"/>
      </w:pPr>
      <w:r>
        <w:rPr>
          <w:bCs/>
          <w:b/>
        </w:rPr>
        <w:t xml:space="preserve">Phase 4: Case Study Analysis:</w:t>
      </w:r>
      <w:r>
        <w:t xml:space="preserve"> </w:t>
      </w:r>
      <w:r>
        <w:t xml:space="preserve">Deep-dive examination of 5-7 successful Business Consultant engagements within major Abu Dhabi projects (e.g., Masdar City development support, tourism sector strategy for Abu Dhabi Tourism Development Authority).</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value for multiple stakeholders in the United Arab Emirates Abu Dhabi ecosystem:</w:t>
      </w:r>
    </w:p>
    <w:p>
      <w:pPr>
        <w:numPr>
          <w:ilvl w:val="0"/>
          <w:numId w:val="1004"/>
        </w:numPr>
        <w:pStyle w:val="Compact"/>
      </w:pPr>
      <w:r>
        <w:rPr>
          <w:bCs/>
          <w:b/>
        </w:rPr>
        <w:t xml:space="preserve">Businesses &amp; Entrepreneurs:</w:t>
      </w:r>
      <w:r>
        <w:t xml:space="preserve"> </w:t>
      </w:r>
      <w:r>
        <w:t xml:space="preserve">Provides evidence-based criteria for selecting high-impact Business Consultants, reducing risk and optimizing ROI on consultancy investments within the Abu Dhabi market.</w:t>
      </w:r>
    </w:p>
    <w:p>
      <w:pPr>
        <w:numPr>
          <w:ilvl w:val="0"/>
          <w:numId w:val="1004"/>
        </w:numPr>
        <w:pStyle w:val="Compact"/>
      </w:pPr>
      <w:r>
        <w:rPr>
          <w:bCs/>
          <w:b/>
        </w:rPr>
        <w:t xml:space="preserve">Business Consultants (Firms &amp; Professionals):</w:t>
      </w:r>
      <w:r>
        <w:t xml:space="preserve"> </w:t>
      </w:r>
      <w:r>
        <w:t xml:space="preserve">Offers insights to refine service offerings specifically for Abu Dhabi's strategic priorities, enhancing their relevance and competitiveness in the local market.</w:t>
      </w:r>
    </w:p>
    <w:p>
      <w:pPr>
        <w:numPr>
          <w:ilvl w:val="0"/>
          <w:numId w:val="1004"/>
        </w:numPr>
        <w:pStyle w:val="Compact"/>
      </w:pPr>
      <w:r>
        <w:rPr>
          <w:bCs/>
          <w:b/>
        </w:rPr>
        <w:t xml:space="preserve">Government Bodies (DED, ADGM, Economic Departments):</w:t>
      </w:r>
      <w:r>
        <w:t xml:space="preserve"> </w:t>
      </w:r>
      <w:r>
        <w:t xml:space="preserve">Informs policy development regarding professional services licensing and support programs to foster a more effective consulting ecosystem aligned with Abu Dhabi's economic goals.</w:t>
      </w:r>
    </w:p>
    <w:p>
      <w:pPr>
        <w:numPr>
          <w:ilvl w:val="0"/>
          <w:numId w:val="1004"/>
        </w:numPr>
        <w:pStyle w:val="Compact"/>
      </w:pPr>
      <w:r>
        <w:rPr>
          <w:bCs/>
          <w:b/>
        </w:rPr>
        <w:t xml:space="preserve">Academia &amp; Policy Makers:</w:t>
      </w:r>
      <w:r>
        <w:t xml:space="preserve"> </w:t>
      </w:r>
      <w:r>
        <w:t xml:space="preserve">Contributes valuable empirical data on consultancy's role in emerging economies, specifically the Gulf context, enriching regional business strategy literature.</w:t>
      </w:r>
    </w:p>
    <w:bookmarkEnd w:id="25"/>
    <w:bookmarkStart w:id="26" w:name="research-timeline-12-month-project"/>
    <w:p>
      <w:pPr>
        <w:pStyle w:val="Heading2"/>
      </w:pPr>
      <w:r>
        <w:t xml:space="preserve">6. Research Timeline (12-Month Project)</w:t>
      </w:r>
    </w:p>
    <w:p>
      <w:pPr>
        <w:numPr>
          <w:ilvl w:val="0"/>
          <w:numId w:val="1005"/>
        </w:numPr>
        <w:pStyle w:val="Compact"/>
      </w:pPr>
      <w:r>
        <w:rPr>
          <w:iCs/>
          <w:i/>
        </w:rPr>
        <w:t xml:space="preserve">Months 1-3:</w:t>
      </w:r>
      <w:r>
        <w:t xml:space="preserve"> </w:t>
      </w:r>
      <w:r>
        <w:t xml:space="preserve">Literature review, regulatory mapping, methodology finalization, ethical approval.</w:t>
      </w:r>
    </w:p>
    <w:p>
      <w:pPr>
        <w:numPr>
          <w:ilvl w:val="0"/>
          <w:numId w:val="1005"/>
        </w:numPr>
        <w:pStyle w:val="Compact"/>
      </w:pPr>
      <w:r>
        <w:rPr>
          <w:iCs/>
          <w:i/>
        </w:rPr>
        <w:t xml:space="preserve">Months 4-6:</w:t>
      </w:r>
      <w:r>
        <w:t xml:space="preserve"> </w:t>
      </w:r>
      <w:r>
        <w:t xml:space="preserve">Stakeholder identification &amp; recruitment, conduct Phase 1 interviews &amp; survey design.</w:t>
      </w:r>
    </w:p>
    <w:p>
      <w:pPr>
        <w:numPr>
          <w:ilvl w:val="0"/>
          <w:numId w:val="1005"/>
        </w:numPr>
        <w:pStyle w:val="Compact"/>
      </w:pPr>
      <w:r>
        <w:rPr>
          <w:iCs/>
          <w:i/>
        </w:rPr>
        <w:t xml:space="preserve">Months 7-9:</w:t>
      </w:r>
      <w:r>
        <w:t xml:space="preserve"> </w:t>
      </w:r>
      <w:r>
        <w:t xml:space="preserve">Conduct interviews (Phase 2), deploy and analyze survey data (Phase 3).</w:t>
      </w:r>
    </w:p>
    <w:p>
      <w:pPr>
        <w:numPr>
          <w:ilvl w:val="0"/>
          <w:numId w:val="1005"/>
        </w:numPr>
        <w:pStyle w:val="Compact"/>
      </w:pPr>
      <w:r>
        <w:rPr>
          <w:iCs/>
          <w:i/>
        </w:rPr>
        <w:t xml:space="preserve">Months 10-12:</w:t>
      </w:r>
      <w:r>
        <w:t xml:space="preserve"> </w:t>
      </w:r>
      <w:r>
        <w:t xml:space="preserve">Complete case studies (Phase 4), synthesize findings, draft final research report and framework.</w:t>
      </w:r>
    </w:p>
    <w:bookmarkEnd w:id="26"/>
    <w:bookmarkStart w:id="27" w:name="Xbef64081c4533c52084466bf6ca73f55ba68d51"/>
    <w:p>
      <w:pPr>
        <w:pStyle w:val="Heading2"/>
      </w:pPr>
      <w:r>
        <w:t xml:space="preserve">7. Conclusion: The Path Forward for Strategic Consulting in Abu Dhabi</w:t>
      </w:r>
    </w:p>
    <w:p>
      <w:pPr>
        <w:pStyle w:val="FirstParagraph"/>
      </w:pPr>
      <w:r>
        <w:t xml:space="preserve">The trajectory of economic diversification in the United Arab Emirates Abu Dhabi demands a new generation of Business Consultant services that are not merely transactional but deeply embedded within the emirate's strategic fabric. This Research Proposal outlines a critical investigation into how specialized consultancy can become an indispensable catalyst for sustainable growth, operational excellence, and seamless integration with Abu Dhabi's ambitious national vision. By rigorously analyzing the current state, identifying precise needs, and developing a localized framework for effective engagement, this research will equip businesses and consultants alike to navigate the complexities of Abu Dhabi's vibrant market with greater confidence and success. The outcomes will directly contribute to strengthening the competitiveness of the United Arab Emirates Abu Dhabi as a global business hub while providing an evidence-based roadmap for optimizing the strategic value of Business Consultant partnerships in this pivotal location.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Business Consultants in United Arab Emirates Abu Dhabi</dc:title>
  <dc:creator/>
  <dc:language>en</dc:language>
  <cp:keywords/>
  <dcterms:created xsi:type="dcterms:W3CDTF">2025-12-10T12:16:14Z</dcterms:created>
  <dcterms:modified xsi:type="dcterms:W3CDTF">2025-12-10T12:16:14Z</dcterms:modified>
</cp:coreProperties>
</file>

<file path=docProps/custom.xml><?xml version="1.0" encoding="utf-8"?>
<Properties xmlns="http://schemas.openxmlformats.org/officeDocument/2006/custom-properties" xmlns:vt="http://schemas.openxmlformats.org/officeDocument/2006/docPropsVTypes"/>
</file>