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179fa2ee3ba71524df44ee5e23f167bc2ebe1ca"/>
    <w:p>
      <w:pPr>
        <w:pStyle w:val="Heading1"/>
      </w:pPr>
      <w:r>
        <w:t xml:space="preserve">Research Proposal: Enhancing Business Consultant Practices for Sustainable Economic Growth in Tashkent, Uzbekistan</w:t>
      </w:r>
    </w:p>
    <w:bookmarkStart w:id="20" w:name="introduction-and-background"/>
    <w:p>
      <w:pPr>
        <w:pStyle w:val="Heading2"/>
      </w:pPr>
      <w:r>
        <w:t xml:space="preserve">1. Introduction and Background</w:t>
      </w:r>
    </w:p>
    <w:p>
      <w:pPr>
        <w:pStyle w:val="FirstParagraph"/>
      </w:pPr>
      <w:r>
        <w:t xml:space="preserve">The Republic of Uzbekistan has embarked on an ambitious economic reform agenda under President Shavkat Mirziyoyev's administration, prioritizing market liberalization, foreign investment attraction, and private sector development. As the capital city and economic nerve center of Uzbekistan, Tashkent serves as the primary hub for national business activity, hosting 35% of the country's GDP and over 70% of foreign direct investment projects. However, despite these promising developments, a critical gap persists in specialized business advisory services tailored to Uzbekistan's unique transition economy. This research proposal addresses this gap by investigating the evolving role of</w:t>
      </w:r>
      <w:r>
        <w:t xml:space="preserve"> </w:t>
      </w:r>
      <w:r>
        <w:rPr>
          <w:bCs/>
          <w:b/>
        </w:rPr>
        <w:t xml:space="preserve">Business Consultant</w:t>
      </w:r>
      <w:r>
        <w:t xml:space="preserve"> </w:t>
      </w:r>
      <w:r>
        <w:t xml:space="preserve">professionals within Tashkent's dynamic corporate landscape and their potential to accelerate sustainable business practices.</w:t>
      </w:r>
    </w:p>
    <w:p>
      <w:pPr>
        <w:pStyle w:val="BodyText"/>
      </w:pPr>
      <w:r>
        <w:t xml:space="preserve">The current consulting market in Tashkent remains fragmented, with most services concentrated on accounting and basic management advice rather than strategic transformation. According to the 2023 Uzbekistan Chamber of Commerce Report, only 18% of medium-sized enterprises (MSEs) in Tashkent engage external consultants for strategic planning, compared to 65% in regional peers like Kazakhstan. This deficit coincides with Uzbekistan's target to double its GDP per capita by 2030 and achieve upper-middle-income status. The lack of locally adapted</w:t>
      </w:r>
      <w:r>
        <w:t xml:space="preserve"> </w:t>
      </w:r>
      <w:r>
        <w:rPr>
          <w:bCs/>
          <w:b/>
        </w:rPr>
        <w:t xml:space="preserve">Business Consultant</w:t>
      </w:r>
      <w:r>
        <w:t xml:space="preserve"> </w:t>
      </w:r>
      <w:r>
        <w:t xml:space="preserve">expertise hinders companies from effectively navigating complex regulatory reforms, accessing international markets, and implementing digital transformation—key pillars of the national "Strategy for Action" (2023-2027).</w:t>
      </w:r>
    </w:p>
    <w:bookmarkEnd w:id="20"/>
    <w:bookmarkStart w:id="21" w:name="problem-statement"/>
    <w:p>
      <w:pPr>
        <w:pStyle w:val="Heading2"/>
      </w:pPr>
      <w:r>
        <w:t xml:space="preserve">2. Problem Statement</w:t>
      </w:r>
    </w:p>
    <w:p>
      <w:pPr>
        <w:pStyle w:val="FirstParagraph"/>
      </w:pPr>
      <w:r>
        <w:t xml:space="preserve">Two critical challenges demand immediate research attention: First, existing business consulting firms in Tashkent predominantly serve multinational corporations, leaving local SMEs without affordable strategic guidance. Second, the majority of consultants lack contextual knowledge of Uzbekistan's legal framework (e.g., new 2023 Business Law amendments), cultural dynamics, and sector-specific opportunities (such as agribusiness and IT export). This research directly confronts these limitations by examining how</w:t>
      </w:r>
      <w:r>
        <w:t xml:space="preserve"> </w:t>
      </w:r>
      <w:r>
        <w:rPr>
          <w:bCs/>
          <w:b/>
        </w:rPr>
        <w:t xml:space="preserve">Business Consultant</w:t>
      </w:r>
      <w:r>
        <w:t xml:space="preserve"> </w:t>
      </w:r>
      <w:r>
        <w:t xml:space="preserve">frameworks can be adapted to Uzbekistan Tashkent's socio-economic environment, particularly for the rapidly growing 500+ SMEs operating in manufacturing, tourism, and digital services sectors.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demand-supply mismatch in professional business consulting services across Tashkent's enterprise spectrum.</w:t>
      </w:r>
    </w:p>
    <w:p>
      <w:pPr>
        <w:numPr>
          <w:ilvl w:val="0"/>
          <w:numId w:val="1001"/>
        </w:numPr>
        <w:pStyle w:val="Compact"/>
      </w:pPr>
      <w:r>
        <w:t xml:space="preserve">To develop a culturally competent consultant competency model integrating Uzbekistan's regulatory requirements and entrepreneurial culture.</w:t>
      </w:r>
    </w:p>
    <w:p>
      <w:pPr>
        <w:numPr>
          <w:ilvl w:val="0"/>
          <w:numId w:val="1001"/>
        </w:numPr>
        <w:pStyle w:val="Compact"/>
      </w:pPr>
      <w:r>
        <w:t xml:space="preserve">To assess the impact of localized business advisory services on SME growth metrics (revenue, employment, export) in Tashkent.</w:t>
      </w:r>
    </w:p>
    <w:p>
      <w:pPr>
        <w:numPr>
          <w:ilvl w:val="0"/>
          <w:numId w:val="1001"/>
        </w:numPr>
        <w:pStyle w:val="Compact"/>
      </w:pPr>
      <w:r>
        <w:t xml:space="preserve">To propose a scalable framework for training and certifying Uzbekistani Business Consultants aligned with national economic goals.</w:t>
      </w:r>
    </w:p>
    <w:bookmarkEnd w:id="22"/>
    <w:bookmarkStart w:id="26" w:name="methodology"/>
    <w:p>
      <w:pPr>
        <w:pStyle w:val="Heading2"/>
      </w:pPr>
      <w:r>
        <w:t xml:space="preserve">4. Methodology</w:t>
      </w:r>
    </w:p>
    <w:p>
      <w:pPr>
        <w:pStyle w:val="FirstParagraph"/>
      </w:pPr>
      <w:r>
        <w:t xml:space="preserve">This mixed-methods research employs a sequential design spanning 18 months:</w:t>
      </w:r>
    </w:p>
    <w:bookmarkStart w:id="23" w:name="phase-1-quantitative-analysis-months-1-6"/>
    <w:p>
      <w:pPr>
        <w:pStyle w:val="Heading3"/>
      </w:pPr>
      <w:r>
        <w:t xml:space="preserve">Phase 1: Quantitative Analysis (Months 1-6)</w:t>
      </w:r>
    </w:p>
    <w:p>
      <w:pPr>
        <w:numPr>
          <w:ilvl w:val="0"/>
          <w:numId w:val="1002"/>
        </w:numPr>
        <w:pStyle w:val="Compact"/>
      </w:pPr>
      <w:r>
        <w:t xml:space="preserve">Survey of 500 Tashkent-based enterprises (stratified by size: micro, small, medium) via the Uzbekistan Chamber of Commerce.</w:t>
      </w:r>
    </w:p>
    <w:p>
      <w:pPr>
        <w:numPr>
          <w:ilvl w:val="0"/>
          <w:numId w:val="1002"/>
        </w:numPr>
        <w:pStyle w:val="Compact"/>
      </w:pPr>
      <w:r>
        <w:t xml:space="preserve">Analysis of consulting service pricing structures, service adoption rates, and perceived effectiveness using Likert-scale questionnaires.</w:t>
      </w:r>
    </w:p>
    <w:bookmarkEnd w:id="23"/>
    <w:bookmarkStart w:id="24" w:name="X77e1fbfc1b7c5320fcc897f9f43364e99825cf8"/>
    <w:p>
      <w:pPr>
        <w:pStyle w:val="Heading3"/>
      </w:pPr>
      <w:r>
        <w:t xml:space="preserve">Phase 2: Qualitative Deep Dive (Months 7-12)</w:t>
      </w:r>
    </w:p>
    <w:p>
      <w:pPr>
        <w:numPr>
          <w:ilvl w:val="0"/>
          <w:numId w:val="1003"/>
        </w:numPr>
        <w:pStyle w:val="Compact"/>
      </w:pPr>
      <w:r>
        <w:t xml:space="preserve">Semi-structured interviews with 40 key stakeholders: business owners (60%), existing consultants (25%), government regulators (15%).</w:t>
      </w:r>
    </w:p>
    <w:p>
      <w:pPr>
        <w:numPr>
          <w:ilvl w:val="0"/>
          <w:numId w:val="1003"/>
        </w:numPr>
        <w:pStyle w:val="Compact"/>
      </w:pPr>
      <w:r>
        <w:t xml:space="preserve">Case studies of 8 successful Tashkent businesses that utilized external consultancy services.</w:t>
      </w:r>
    </w:p>
    <w:bookmarkEnd w:id="24"/>
    <w:bookmarkStart w:id="25" w:name="Xf5622e4e3f2327e51dfc625bab60c1d452ac7b3"/>
    <w:p>
      <w:pPr>
        <w:pStyle w:val="Heading3"/>
      </w:pPr>
      <w:r>
        <w:t xml:space="preserve">Phase 3: Framework Development &amp; Validation (Months 13-18)</w:t>
      </w:r>
    </w:p>
    <w:p>
      <w:pPr>
        <w:numPr>
          <w:ilvl w:val="0"/>
          <w:numId w:val="1004"/>
        </w:numPr>
        <w:pStyle w:val="Compact"/>
      </w:pPr>
      <w:r>
        <w:t xml:space="preserve">Co-creation workshops with the Tashkent Business Development Center to refine consultant competency modules.</w:t>
      </w:r>
    </w:p>
    <w:p>
      <w:pPr>
        <w:numPr>
          <w:ilvl w:val="0"/>
          <w:numId w:val="1004"/>
        </w:numPr>
        <w:pStyle w:val="Compact"/>
      </w:pPr>
      <w:r>
        <w:t xml:space="preserve">Pilot testing of proposed consulting service packages with 25 SMEs across agriculture, textiles, and IT sectors.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key contributions to Uzbekistan's economic development:</w:t>
      </w:r>
    </w:p>
    <w:p>
      <w:pPr>
        <w:numPr>
          <w:ilvl w:val="0"/>
          <w:numId w:val="1005"/>
        </w:numPr>
        <w:pStyle w:val="Compact"/>
      </w:pPr>
      <w:r>
        <w:rPr>
          <w:bCs/>
          <w:b/>
        </w:rPr>
        <w:t xml:space="preserve">Contextualized Consultant Framework</w:t>
      </w:r>
      <w:r>
        <w:t xml:space="preserve">: A validated model of Business Consultant competencies specific to Uzbekistan Tashkent, addressing gaps in regulatory knowledge (e.g., customs procedures, tax incentives), digital literacy, and cross-cultural communication—critical for navigating the country's "Digital Uzbekistan 2030" initiative.</w:t>
      </w:r>
    </w:p>
    <w:p>
      <w:pPr>
        <w:numPr>
          <w:ilvl w:val="0"/>
          <w:numId w:val="1005"/>
        </w:numPr>
        <w:pStyle w:val="Compact"/>
      </w:pPr>
      <w:r>
        <w:rPr>
          <w:bCs/>
          <w:b/>
        </w:rPr>
        <w:t xml:space="preserve">Policy Recommendations</w:t>
      </w:r>
      <w:r>
        <w:t xml:space="preserve">: Evidence-based proposals for the Ministry of Investment and Foreign Trade to integrate certified Business Consultants into national SME support programs (e.g., through the Tashkent Business Incubator Network).</w:t>
      </w:r>
    </w:p>
    <w:p>
      <w:pPr>
        <w:numPr>
          <w:ilvl w:val="0"/>
          <w:numId w:val="1005"/>
        </w:numPr>
        <w:pStyle w:val="Compact"/>
      </w:pPr>
      <w:r>
        <w:rPr>
          <w:bCs/>
          <w:b/>
        </w:rPr>
        <w:t xml:space="preserve">Economic Impact Measurement</w:t>
      </w:r>
      <w:r>
        <w:t xml:space="preserve">: Quantifiable data linking localized consulting services to improved business performance, directly supporting Uzbekistan's goal to increase SME contribution to GDP from 35% to 45% by 2027.</w:t>
      </w:r>
    </w:p>
    <w:p>
      <w:pPr>
        <w:numPr>
          <w:ilvl w:val="0"/>
          <w:numId w:val="1005"/>
        </w:numPr>
        <w:pStyle w:val="Compact"/>
      </w:pPr>
      <w:r>
        <w:rPr>
          <w:bCs/>
          <w:b/>
        </w:rPr>
        <w:t xml:space="preserve">Workforce Development Blueprint</w:t>
      </w:r>
      <w:r>
        <w:t xml:space="preserve">: A scalable training curriculum for the Tashkent Higher School of Business and other institutions, designed to produce homegrown consultants who understand Uzbekistan's market nuances rather than importing Western models.</w:t>
      </w:r>
    </w:p>
    <w:bookmarkEnd w:id="27"/>
    <w:bookmarkStart w:id="28" w:name="alignment-with-national-priorities"/>
    <w:p>
      <w:pPr>
        <w:pStyle w:val="Heading2"/>
      </w:pPr>
      <w:r>
        <w:t xml:space="preserve">6. Alignment with National Priorities</w:t>
      </w:r>
    </w:p>
    <w:p>
      <w:pPr>
        <w:pStyle w:val="FirstParagraph"/>
      </w:pPr>
      <w:r>
        <w:t xml:space="preserve">This research directly supports Uzbekistan's strategic imperatives:</w:t>
      </w:r>
    </w:p>
    <w:p>
      <w:pPr>
        <w:numPr>
          <w:ilvl w:val="0"/>
          <w:numId w:val="1006"/>
        </w:numPr>
        <w:pStyle w:val="Compact"/>
      </w:pPr>
      <w:r>
        <w:t xml:space="preserve">Complements the 2030 National Development Strategy through concrete mechanisms for SME growth.</w:t>
      </w:r>
    </w:p>
    <w:p>
      <w:pPr>
        <w:numPr>
          <w:ilvl w:val="0"/>
          <w:numId w:val="1006"/>
        </w:numPr>
        <w:pStyle w:val="Compact"/>
      </w:pPr>
      <w:r>
        <w:t xml:space="preserve">Advances the "Tashkent Economic City" project by enhancing local business capacity in the capital region.</w:t>
      </w:r>
    </w:p>
    <w:p>
      <w:pPr>
        <w:numPr>
          <w:ilvl w:val="0"/>
          <w:numId w:val="1006"/>
        </w:numPr>
        <w:pStyle w:val="Compact"/>
      </w:pPr>
      <w:r>
        <w:t xml:space="preserve">Addresses UNDP Uzbekistan's 2023 priority on "Entrepreneurship and Job Creation" through measurable consultant-driven outcomes.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Survey Design</w:t>
      </w:r>
    </w:p>
    <w:p>
      <w:pPr>
        <w:pStyle w:val="BodyText"/>
      </w:pPr>
      <w:r>
        <w:t xml:space="preserve">1-3</w:t>
      </w:r>
    </w:p>
    <w:p>
      <w:pPr>
        <w:pStyle w:val="BodyText"/>
      </w:pPr>
      <w:r>
        <w:t xml:space="preserve">Memo of Understanding with Tashkent Chamber; Survey Instrument Finalized</w:t>
      </w:r>
    </w:p>
    <w:p>
      <w:pPr>
        <w:pStyle w:val="BodyText"/>
      </w:pPr>
      <w:r>
        <w:t xml:space="preserve">Data Collection (Quantitative)</w:t>
      </w:r>
    </w:p>
    <w:p>
      <w:pPr>
        <w:pStyle w:val="BodyText"/>
      </w:pPr>
      <w:r>
        <w:t xml:space="preserve">4-6</w:t>
      </w:r>
    </w:p>
    <w:p>
      <w:pPr>
        <w:pStyle w:val="BodyText"/>
      </w:pPr>
      <w:r>
        <w:t xml:space="preserve">500 Enterprise Survey Data Set</w:t>
      </w:r>
    </w:p>
    <w:p>
      <w:pPr>
        <w:pStyle w:val="BodyText"/>
      </w:pPr>
      <w:r>
        <w:t xml:space="preserve">Data Analysis &amp; Interviews</w:t>
      </w:r>
    </w:p>
    <w:p>
      <w:pPr>
        <w:pStyle w:val="BodyText"/>
      </w:pPr>
      <w:r>
        <w:t xml:space="preserve">7-12</w:t>
      </w:r>
    </w:p>
    <w:p>
      <w:pPr>
        <w:pStyle w:val="BodyText"/>
      </w:pPr>
      <w:r>
        <w:t xml:space="preserve">Cultural Competency Framework Draft; Stakeholder Insight Report</w:t>
      </w:r>
    </w:p>
    <w:p>
      <w:pPr>
        <w:pStyle w:val="BodyText"/>
      </w:pPr>
      <w:r>
        <w:t xml:space="preserve">Workshop &amp; Pilot Implementation</w:t>
      </w:r>
    </w:p>
    <w:p>
      <w:pPr>
        <w:pStyle w:val="BodyText"/>
      </w:pPr>
      <w:r>
        <w:t xml:space="preserve">13-16</w:t>
      </w:r>
    </w:p>
    <w:p>
      <w:pPr>
        <w:pStyle w:val="BodyText"/>
      </w:pPr>
      <w:r>
        <w:t xml:space="preserve">SME Consultant Package Prototype; Pilot Impact Assessment Tool</w:t>
      </w:r>
    </w:p>
    <w:p>
      <w:pPr>
        <w:pStyle w:val="BodyText"/>
      </w:pPr>
      <w:r>
        <w:t xml:space="preserve">Final Report &amp; Policy Briefing</w:t>
      </w:r>
    </w:p>
    <w:p>
      <w:pPr>
        <w:pStyle w:val="BodyText"/>
      </w:pPr>
      <w:r>
        <w:t xml:space="preserve">17-18</w:t>
      </w:r>
    </w:p>
    <w:p>
      <w:pPr>
        <w:pStyle w:val="BodyText"/>
      </w:pPr>
      <w:r>
        <w:t xml:space="preserve">National Policy Recommendations; Training Curriculum Blueprint</w:t>
      </w:r>
    </w:p>
    <w:bookmarkEnd w:id="29"/>
    <w:bookmarkStart w:id="30" w:name="Xfb1d6e86632e75a135b87988dd19fcd767fbacf"/>
    <w:p>
      <w:pPr>
        <w:pStyle w:val="Heading2"/>
      </w:pPr>
      <w:r>
        <w:t xml:space="preserve">8. Conclusion: The Strategic Imperative for Business Consulting in Tashkent</w:t>
      </w:r>
    </w:p>
    <w:p>
      <w:pPr>
        <w:pStyle w:val="FirstParagraph"/>
      </w:pPr>
      <w:r>
        <w:t xml:space="preserve">The success of Uzbekistan's economic transformation hinges on unlocking the potential of its business ecosystem, with Tashkent as the critical catalyst. This research proposes a paradigm shift from generic consulting to purpose-built</w:t>
      </w:r>
      <w:r>
        <w:t xml:space="preserve"> </w:t>
      </w:r>
      <w:r>
        <w:rPr>
          <w:bCs/>
          <w:b/>
        </w:rPr>
        <w:t xml:space="preserve">Business Consultant</w:t>
      </w:r>
      <w:r>
        <w:t xml:space="preserve"> </w:t>
      </w:r>
      <w:r>
        <w:t xml:space="preserve">services that speak to Uzbekistan Tashkent's unique context. By addressing the acute shortage of locally relevant advisory expertise, this project will empower entrepreneurs to navigate complex reforms, embrace innovation, and compete globally—directly contributing to the nation's vision of becoming a "high-income economy with global integration." The findings will serve as a replicable model for Central Asia while positioning Tashkent as a regional hub for contextually intelligent business consulting. Ultimately, this research is not merely an academic exercise; it is an investment in Uzbekistan's economic sovereignty and sustainable prosperity, where every consultant's insight becomes a catalyst for national progress.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Services in Tashkent, Uzbekistan</dc:title>
  <dc:creator/>
  <dc:language>en</dc:language>
  <cp:keywords/>
  <dcterms:created xsi:type="dcterms:W3CDTF">2025-12-11T15:57:43Z</dcterms:created>
  <dcterms:modified xsi:type="dcterms:W3CDTF">2025-12-11T15:57:43Z</dcterms:modified>
</cp:coreProperties>
</file>

<file path=docProps/custom.xml><?xml version="1.0" encoding="utf-8"?>
<Properties xmlns="http://schemas.openxmlformats.org/officeDocument/2006/custom-properties" xmlns:vt="http://schemas.openxmlformats.org/officeDocument/2006/docPropsVTypes"/>
</file>