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Toronto's</w:t>
      </w:r>
      <w:r>
        <w:t xml:space="preserve"> </w:t>
      </w:r>
      <w:r>
        <w:t xml:space="preserve">Construction</w:t>
      </w:r>
      <w:r>
        <w:t xml:space="preserve"> </w:t>
      </w:r>
      <w:r>
        <w:t xml:space="preserve">Industry,</w:t>
      </w:r>
      <w:r>
        <w:t xml:space="preserve"> </w:t>
      </w:r>
      <w:r>
        <w:t xml:space="preserve">Canada</w:t>
      </w:r>
    </w:p>
    <w:bookmarkStart w:id="29" w:name="X2ae36830a02e46885f9515252e3a285ed142d72"/>
    <w:p>
      <w:pPr>
        <w:pStyle w:val="Heading1"/>
      </w:pPr>
      <w:r>
        <w:t xml:space="preserve">Research Proposal: The Evolving Role of Carpenters in Toronto's Construction Industry, Canada</w:t>
      </w:r>
    </w:p>
    <w:bookmarkStart w:id="20" w:name="introduction"/>
    <w:p>
      <w:pPr>
        <w:pStyle w:val="Heading2"/>
      </w:pPr>
      <w:r>
        <w:t xml:space="preserve">1. Introduction</w:t>
      </w:r>
    </w:p>
    <w:p>
      <w:pPr>
        <w:pStyle w:val="FirstParagraph"/>
      </w:pPr>
      <w:r>
        <w:t xml:space="preserve">The construction industry in Canada Toronto represents a dynamic and critical sector driving urban development across one of North America's fastest-growing metropolitan areas. Within this ecosystem, the carpenter remains an indispensable professional whose expertise shapes residential, commercial, and infrastructure projects. As Toronto faces unprecedented population growth—with over 6 million residents projected by 2041—demand for skilled carpenters has surged to meet housing targets and infrastructure modernization. This Research Proposal addresses the urgent need to understand contemporary challenges, opportunities, and evolving competencies required of carpenters in Canada Toronto's unique economic, regulatory, and environmental context. Focusing on this pivotal trade occupation is essential for sustaining Toronto's construction boom while ensuring workforce resilience.</w:t>
      </w:r>
    </w:p>
    <w:bookmarkEnd w:id="20"/>
    <w:bookmarkStart w:id="21" w:name="problem-statement"/>
    <w:p>
      <w:pPr>
        <w:pStyle w:val="Heading2"/>
      </w:pPr>
      <w:r>
        <w:t xml:space="preserve">2. Problem Statement</w:t>
      </w:r>
    </w:p>
    <w:p>
      <w:pPr>
        <w:pStyle w:val="FirstParagraph"/>
      </w:pPr>
      <w:r>
        <w:t xml:space="preserve">Despite carpentry being ranked among Canada’s top 10 most in-demand trades by the Government of Ontario (2023), Toronto grapples with a severe skilled trade shortage. Recent data from the Toronto Construction Association (TCA) reveals a 40% vacancy rate for journeyperson carpenters, directly contributing to project delays averaging 18 weeks per construction site. This crisis is exacerbated by three interconnected challenges: (a) an aging workforce with 65% of current carpenters over 50 years old, (b) insufficient apprenticeship pipeline due to inadequate industry-education partnerships, and (c) rapid technological adoption in sustainable building practices—such as mass timber construction and prefabricated modules—that outpaces traditional training. Without strategic intervention, these gaps threaten Toronto’s housing affordability goals and economic competitiveness within Canada's national context.</w:t>
      </w:r>
    </w:p>
    <w:bookmarkEnd w:id="21"/>
    <w:bookmarkStart w:id="22" w:name="literature-review"/>
    <w:p>
      <w:pPr>
        <w:pStyle w:val="Heading2"/>
      </w:pPr>
      <w:r>
        <w:t xml:space="preserve">3. Literature Review</w:t>
      </w:r>
    </w:p>
    <w:p>
      <w:pPr>
        <w:pStyle w:val="FirstParagraph"/>
      </w:pPr>
      <w:r>
        <w:t xml:space="preserve">Existing research on Canadian trades focuses broadly on national statistics (e.g., Statistics Canada, 2022), but lacks Toronto-specific analysis of carpentry evolution. Studies by the Canadian Construction Association (CCA, 2021) highlight generational workforce shifts but omit Toronto’s unique density challenges. Similarly, Ontario’s Ministry of Labour reports emphasize safety protocols yet overlook skill adaptation in green building technologies. A notable gap exists regarding how municipal zoning policies (e.g., Toronto's</w:t>
      </w:r>
      <w:r>
        <w:t xml:space="preserve"> </w:t>
      </w:r>
      <w:r>
        <w:rPr>
          <w:iCs/>
          <w:i/>
        </w:rPr>
        <w:t xml:space="preserve">Official Plan</w:t>
      </w:r>
      <w:r>
        <w:t xml:space="preserve"> </w:t>
      </w:r>
      <w:r>
        <w:t xml:space="preserve">amendments for high-rise wood construction) impact carpenter training needs. This proposal bridges that void by centering Toronto as a microcosm of Canada’s urban construction future, where carpenters must navigate both heritage building preservation and innovative sustainable practices.</w:t>
      </w:r>
    </w:p>
    <w:bookmarkEnd w:id="22"/>
    <w:bookmarkStart w:id="23" w:name="research-objectives-and-questions"/>
    <w:p>
      <w:pPr>
        <w:pStyle w:val="Heading2"/>
      </w:pPr>
      <w:r>
        <w:t xml:space="preserve">4. Research Objectives and Questions</w:t>
      </w:r>
    </w:p>
    <w:p>
      <w:pPr>
        <w:pStyle w:val="FirstParagraph"/>
      </w:pPr>
      <w:r>
        <w:t xml:space="preserve">This study aims to develop evidence-based solutions for enhancing the carpenter workforce in Canada Toronto through four key objectives:</w:t>
      </w:r>
    </w:p>
    <w:p>
      <w:pPr>
        <w:numPr>
          <w:ilvl w:val="0"/>
          <w:numId w:val="1001"/>
        </w:numPr>
        <w:pStyle w:val="Compact"/>
      </w:pPr>
      <w:r>
        <w:t xml:space="preserve">To quantify the skills mismatch between current carpenter training programs and emerging Toronto construction demands.</w:t>
      </w:r>
    </w:p>
    <w:p>
      <w:pPr>
        <w:numPr>
          <w:ilvl w:val="0"/>
          <w:numId w:val="1001"/>
        </w:numPr>
        <w:pStyle w:val="Compact"/>
      </w:pPr>
      <w:r>
        <w:t xml:space="preserve">To analyze how municipal regulations influence carpenter workflow efficiency in high-density projects.</w:t>
      </w:r>
    </w:p>
    <w:p>
      <w:pPr>
        <w:numPr>
          <w:ilvl w:val="0"/>
          <w:numId w:val="1001"/>
        </w:numPr>
        <w:pStyle w:val="Compact"/>
      </w:pPr>
      <w:r>
        <w:t xml:space="preserve">To evaluate the socioeconomic barriers preventing diverse candidates from entering carpentry careers in Toronto.</w:t>
      </w:r>
    </w:p>
    <w:p>
      <w:pPr>
        <w:numPr>
          <w:ilvl w:val="0"/>
          <w:numId w:val="1001"/>
        </w:numPr>
        <w:pStyle w:val="Compact"/>
      </w:pPr>
      <w:r>
        <w:t xml:space="preserve">To co-create a scalable competency framework with industry stakeholders for future-proofing the trade.</w:t>
      </w:r>
    </w:p>
    <w:p>
      <w:pPr>
        <w:pStyle w:val="FirstParagraph"/>
      </w:pPr>
      <w:r>
        <w:t xml:space="preserve">Primary research questions include: How do technological shifts in sustainable building (e.g., cross-laminated timber) alter required carpenter competencies? To what extent do Toronto-specific zoning laws create training gaps? And how can apprenticeship models be redesigned to attract younger talent in Canada’s most expensive housing market?</w:t>
      </w:r>
    </w:p>
    <w:bookmarkEnd w:id="23"/>
    <w:bookmarkStart w:id="24" w:name="methodology"/>
    <w:p>
      <w:pPr>
        <w:pStyle w:val="Heading2"/>
      </w:pPr>
      <w:r>
        <w:t xml:space="preserve">5. Methodology</w:t>
      </w:r>
    </w:p>
    <w:p>
      <w:pPr>
        <w:pStyle w:val="FirstParagraph"/>
      </w:pPr>
      <w:r>
        <w:t xml:space="preserve">The research employs a mixed-methods approach over 18 months, combining quantitative and qualitative data from Toronto’s construction ecosystem:</w:t>
      </w:r>
    </w:p>
    <w:p>
      <w:pPr>
        <w:numPr>
          <w:ilvl w:val="0"/>
          <w:numId w:val="1002"/>
        </w:numPr>
        <w:pStyle w:val="Compact"/>
      </w:pPr>
      <w:r>
        <w:rPr>
          <w:bCs/>
          <w:b/>
        </w:rPr>
        <w:t xml:space="preserve">Phase 1 (Months 1-4):</w:t>
      </w:r>
      <w:r>
        <w:t xml:space="preserve"> </w:t>
      </w:r>
      <w:r>
        <w:t xml:space="preserve">Survey analysis of 500+ carpenters via the Ontario College of Trades, alongside interviews with TCA members (25 firms) to map skills gaps.</w:t>
      </w:r>
    </w:p>
    <w:p>
      <w:pPr>
        <w:numPr>
          <w:ilvl w:val="0"/>
          <w:numId w:val="1002"/>
        </w:numPr>
        <w:pStyle w:val="Compact"/>
      </w:pPr>
      <w:r>
        <w:rPr>
          <w:bCs/>
          <w:b/>
        </w:rPr>
        <w:t xml:space="preserve">Phase 2 (Months 5-8):</w:t>
      </w:r>
      <w:r>
        <w:t xml:space="preserve"> </w:t>
      </w:r>
      <w:r>
        <w:t xml:space="preserve">Site observations at Toronto projects utilizing mass timber (e.g., The Tower at Union Station) and traditional masonry to benchmark workflow challenges.</w:t>
      </w:r>
    </w:p>
    <w:p>
      <w:pPr>
        <w:numPr>
          <w:ilvl w:val="0"/>
          <w:numId w:val="1002"/>
        </w:numPr>
        <w:pStyle w:val="Compact"/>
      </w:pPr>
      <w:r>
        <w:rPr>
          <w:bCs/>
          <w:b/>
        </w:rPr>
        <w:t xml:space="preserve">Phase 3 (Months 9-12):</w:t>
      </w:r>
      <w:r>
        <w:t xml:space="preserve"> </w:t>
      </w:r>
      <w:r>
        <w:t xml:space="preserve">Focus groups with apprenticeship coordinators from George Brown College and Centennial College, plus demographic analysis of Toronto’s trade trainee pool.</w:t>
      </w:r>
    </w:p>
    <w:p>
      <w:pPr>
        <w:numPr>
          <w:ilvl w:val="0"/>
          <w:numId w:val="1002"/>
        </w:numPr>
        <w:pStyle w:val="Compact"/>
      </w:pPr>
      <w:r>
        <w:rPr>
          <w:bCs/>
          <w:b/>
        </w:rPr>
        <w:t xml:space="preserve">Phase 4 (Months 13-18):</w:t>
      </w:r>
      <w:r>
        <w:t xml:space="preserve"> </w:t>
      </w:r>
      <w:r>
        <w:t xml:space="preserve">Co-design workshops with carpenter unions (e.g., Local 520), developers, and municipal planners to draft the competency framework.</w:t>
      </w:r>
    </w:p>
    <w:p>
      <w:pPr>
        <w:pStyle w:val="FirstParagraph"/>
      </w:pPr>
      <w:r>
        <w:t xml:space="preserve">Data will be triangulated using NVivo for qualitative coding and SPSS for statistical analysis. Ethical approval will be secured from the University of Toronto’s Research Ethics Board, prioritizing carpenter anonymity.</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 (1) A publicly accessible "Toronto Carpenter Competency Matrix" aligning training with 2030 infrastructure goals; (2) Policy briefs for the City of Toronto’s Planning Department to streamline permitting for innovative carpentry workflows; and (3) A recruitment toolkit targeting underrepresented groups in Canadian construction—addressing Toronto’s current 18% female carpenter representation (vs. 54% national average for trades). Crucially, this work positions Canada Toronto as a global leader in adaptive trade workforce development, with findings transferable to other major Canadian cities like Vancouver and Calgary facing similar pressures.</w:t>
      </w:r>
    </w:p>
    <w:p>
      <w:pPr>
        <w:pStyle w:val="BodyText"/>
      </w:pPr>
      <w:r>
        <w:t xml:space="preserve">The significance extends beyond economics: A robust carpentry workforce directly supports Toronto’s climate action targets. For instance, skilled carpenters enable carbon-efficient timber construction—projected to reduce building emissions by 50% compared to steel/concrete. By ensuring Canada Toronto’s carpenters lead this transition, the research advances national sustainability goals while strengthening the local economy through 24,000+ new jobs projected in construction by 2031 (TD Economics).</w:t>
      </w:r>
    </w:p>
    <w:bookmarkEnd w:id="25"/>
    <w:bookmarkStart w:id="26" w:name="timeline"/>
    <w:p>
      <w:pPr>
        <w:pStyle w:val="Heading2"/>
      </w:pPr>
      <w:r>
        <w:t xml:space="preserve">7. Timeline</w:t>
      </w:r>
    </w:p>
    <w:p>
      <w:pPr>
        <w:pStyle w:val="FirstParagraph"/>
      </w:pPr>
      <w:r>
        <w:t xml:space="preserve">Timeline</w:t>
      </w:r>
    </w:p>
    <w:p>
      <w:pPr>
        <w:pStyle w:val="BodyText"/>
      </w:pPr>
      <w:r>
        <w:t xml:space="preserve">Key Activities</w:t>
      </w:r>
    </w:p>
    <w:p>
      <w:pPr>
        <w:pStyle w:val="BodyText"/>
      </w:pPr>
      <w:r>
        <w:t xml:space="preserve">Months 1-4</w:t>
      </w:r>
    </w:p>
    <w:p>
      <w:pPr>
        <w:pStyle w:val="BodyText"/>
      </w:pPr>
      <w:r>
        <w:t xml:space="preserve">Literature review, survey design, ethics approval</w:t>
      </w:r>
    </w:p>
    <w:p>
      <w:pPr>
        <w:pStyle w:val="BodyText"/>
      </w:pPr>
      <w:r>
        <w:t xml:space="preserve">Months 5-8</w:t>
      </w:r>
    </w:p>
    <w:p>
      <w:pPr>
        <w:pStyle w:val="BodyText"/>
      </w:pPr>
      <w:r>
        <w:t xml:space="preserve">Data collection: Surveys, site observations</w:t>
      </w:r>
    </w:p>
    <w:p>
      <w:pPr>
        <w:pStyle w:val="BodyText"/>
      </w:pPr>
      <w:r>
        <w:t xml:space="preserve">Months 9-12</w:t>
      </w:r>
      <w:r>
        <w:br/>
      </w:r>
    </w:p>
    <w:p>
      <w:pPr>
        <w:pStyle w:val="BodyText"/>
      </w:pPr>
      <w:r>
        <w:t xml:space="preserve">Analysis of apprenticeship barriers (demographics, access)</w:t>
      </w:r>
    </w:p>
    <w:p>
      <w:pPr>
        <w:pStyle w:val="BodyText"/>
      </w:pPr>
      <w:r>
        <w:t xml:space="preserve">Months 13-15</w:t>
      </w:r>
    </w:p>
    <w:p>
      <w:pPr>
        <w:pStyle w:val="BodyText"/>
      </w:pPr>
      <w:r>
        <w:t xml:space="preserve">Cross-industry co-design workshops (carpenters, unions, planners)</w:t>
      </w:r>
    </w:p>
    <w:p>
      <w:pPr>
        <w:pStyle w:val="BodyText"/>
      </w:pPr>
      <w:r>
        <w:t xml:space="preserve">Months 16-18</w:t>
      </w:r>
    </w:p>
    <w:p>
      <w:pPr>
        <w:pStyle w:val="BodyText"/>
      </w:pPr>
      <w:r>
        <w:t xml:space="preserve">Final report drafting, policy briefs for City of Toronto</w:t>
      </w:r>
    </w:p>
    <w:bookmarkEnd w:id="26"/>
    <w:bookmarkStart w:id="27" w:name="conclusion"/>
    <w:p>
      <w:pPr>
        <w:pStyle w:val="Heading2"/>
      </w:pPr>
      <w:r>
        <w:t xml:space="preserve">8. Conclusion</w:t>
      </w:r>
    </w:p>
    <w:p>
      <w:pPr>
        <w:pStyle w:val="FirstParagraph"/>
      </w:pPr>
      <w:r>
        <w:t xml:space="preserve">The carpenter’s role in Canada Toronto transcends manual labor—it is the cornerstone of equitable urban growth, sustainable development, and economic vitality. This Research Proposal directly responds to a critical inflection point where traditional trades must evolve to meet 21st-century challenges. By centering Toronto’s unique market dynamics and leveraging its position as Canada’s construction epicenter, this study will generate actionable insights for policymakers, educational institutions, and industry leaders. The findings will not only address immediate labor shortages but also establish a replicable model for future-proofing Canada's skilled trades workforce nationwide. Ultimately, empowering carpenters in Toronto means building a more resilient, inclusive, and innovative Canada—one frame at a time.</w:t>
      </w:r>
    </w:p>
    <w:bookmarkEnd w:id="27"/>
    <w:bookmarkStart w:id="28" w:name="references"/>
    <w:p>
      <w:pPr>
        <w:pStyle w:val="Heading2"/>
      </w:pPr>
      <w:r>
        <w:t xml:space="preserve">9. References</w:t>
      </w:r>
    </w:p>
    <w:p>
      <w:pPr>
        <w:numPr>
          <w:ilvl w:val="0"/>
          <w:numId w:val="1003"/>
        </w:numPr>
        <w:pStyle w:val="Compact"/>
      </w:pPr>
      <w:r>
        <w:t xml:space="preserve">Canadian Construction Association (CCA). (2021). *Workforce Trends Report*. Ottawa: CCA Press.</w:t>
      </w:r>
    </w:p>
    <w:p>
      <w:pPr>
        <w:numPr>
          <w:ilvl w:val="0"/>
          <w:numId w:val="1003"/>
        </w:numPr>
        <w:pStyle w:val="Compact"/>
      </w:pPr>
      <w:r>
        <w:t xml:space="preserve">Government of Ontario. (2023). *Ontario’s Labour Market Outlook*. Queen’s Printer for Ontario.</w:t>
      </w:r>
    </w:p>
    <w:p>
      <w:pPr>
        <w:numPr>
          <w:ilvl w:val="0"/>
          <w:numId w:val="1003"/>
        </w:numPr>
        <w:pStyle w:val="Compact"/>
      </w:pPr>
      <w:r>
        <w:t xml:space="preserve">Toronto Construction Association (TCA). (2024). *Toronto Construction Industry Survey*. Toronto: TCA.</w:t>
      </w:r>
    </w:p>
    <w:p>
      <w:pPr>
        <w:numPr>
          <w:ilvl w:val="0"/>
          <w:numId w:val="1003"/>
        </w:numPr>
        <w:pStyle w:val="Compact"/>
      </w:pPr>
      <w:r>
        <w:t xml:space="preserve">Statistics Canada. (2022). *Occupational Employment in Canada, 15-087*. Catalogue no. 71-606-X.</w:t>
      </w:r>
    </w:p>
    <w:p>
      <w:pPr>
        <w:numPr>
          <w:ilvl w:val="0"/>
          <w:numId w:val="1003"/>
        </w:numPr>
        <w:pStyle w:val="Compact"/>
      </w:pPr>
      <w:r>
        <w:t xml:space="preserve">Toronto Official Plan Amendment 394. (2023). *Sustainable Building Framework for High-Rise Wood Construction*.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Carpenters in Toronto's Construction Industry, Canada</dc:title>
  <dc:creator/>
  <dc:language>en</dc:language>
  <cp:keywords/>
  <dcterms:created xsi:type="dcterms:W3CDTF">2026-07-15T00:44:36Z</dcterms:created>
  <dcterms:modified xsi:type="dcterms:W3CDTF">2026-07-15T00:44:36Z</dcterms:modified>
</cp:coreProperties>
</file>

<file path=docProps/custom.xml><?xml version="1.0" encoding="utf-8"?>
<Properties xmlns="http://schemas.openxmlformats.org/officeDocument/2006/custom-properties" xmlns:vt="http://schemas.openxmlformats.org/officeDocument/2006/docPropsVTypes"/>
</file>