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Bogotá,</w:t>
      </w:r>
      <w:r>
        <w:t xml:space="preserve"> </w:t>
      </w:r>
      <w:r>
        <w:t xml:space="preserve">Colombia</w:t>
      </w:r>
    </w:p>
    <w:bookmarkStart w:id="32" w:name="X4aebbc97dd8beaaabf073a61d2553119fcd816c"/>
    <w:p>
      <w:pPr>
        <w:pStyle w:val="Heading1"/>
      </w:pPr>
      <w:r>
        <w:t xml:space="preserve">Research Proposal: Advancing Traditional Carpenter Practices in Urban Development of Bogotá, Colombia</w:t>
      </w:r>
    </w:p>
    <w:bookmarkStart w:id="20" w:name="i.-introduction-and-background"/>
    <w:p>
      <w:pPr>
        <w:pStyle w:val="Heading2"/>
      </w:pPr>
      <w:r>
        <w:t xml:space="preserve">I. Introduction and Background</w:t>
      </w:r>
    </w:p>
    <w:p>
      <w:pPr>
        <w:pStyle w:val="FirstParagraph"/>
      </w:pPr>
      <w:r>
        <w:t xml:space="preserve">The craft of carpentry represents a vital cultural and economic pillar in Colombia's urban landscape, with Bogotá serving as the epicenter of this tradition. As Colombia's capital and most populous city (home to over 8 million residents), Bogotá faces unprecedented urbanization challenges that threaten traditional artisanal practices. Contemporary construction demands often prioritize industrialized materials over handcrafted woodwork, putting pressure on</w:t>
      </w:r>
      <w:r>
        <w:t xml:space="preserve"> </w:t>
      </w:r>
      <w:r>
        <w:rPr>
          <w:iCs/>
          <w:i/>
        </w:rPr>
        <w:t xml:space="preserve">carpenters</w:t>
      </w:r>
      <w:r>
        <w:t xml:space="preserve"> </w:t>
      </w:r>
      <w:r>
        <w:t xml:space="preserve">who form the backbone of Bogotá's architectural heritage. This research addresses a critical gap: how to sustainably integrate traditional</w:t>
      </w:r>
      <w:r>
        <w:t xml:space="preserve"> </w:t>
      </w:r>
      <w:r>
        <w:rPr>
          <w:iCs/>
          <w:i/>
        </w:rPr>
        <w:t xml:space="preserve">carpenter</w:t>
      </w:r>
      <w:r>
        <w:t xml:space="preserve"> </w:t>
      </w:r>
      <w:r>
        <w:t xml:space="preserve">expertise into modern urban development frameworks in</w:t>
      </w:r>
      <w:r>
        <w:t xml:space="preserve"> </w:t>
      </w:r>
      <w:r>
        <w:rPr>
          <w:iCs/>
          <w:i/>
        </w:rPr>
        <w:t xml:space="preserve">Colombia Bogotá</w:t>
      </w:r>
      <w:r>
        <w:t xml:space="preserve">. With 43% of Bogotá's informal economy relying on skilled trades (DANE, 2022), and woodcraft representing a $185 million sector (Ministry of Commerce, 2023), this study emerges at a pivotal moment for cultural preservation and economic resilience.</w:t>
      </w:r>
    </w:p>
    <w:bookmarkEnd w:id="20"/>
    <w:bookmarkStart w:id="21" w:name="ii.-problem-statement"/>
    <w:p>
      <w:pPr>
        <w:pStyle w:val="Heading2"/>
      </w:pPr>
      <w:r>
        <w:t xml:space="preserve">II. Problem Statement</w:t>
      </w:r>
    </w:p>
    <w:p>
      <w:pPr>
        <w:pStyle w:val="FirstParagraph"/>
      </w:pPr>
      <w:r>
        <w:t xml:space="preserve">Bogotá's rapid urbanization has created a dual crisis for traditional</w:t>
      </w:r>
      <w:r>
        <w:t xml:space="preserve"> </w:t>
      </w:r>
      <w:r>
        <w:rPr>
          <w:iCs/>
          <w:i/>
        </w:rPr>
        <w:t xml:space="preserve">carpenters</w:t>
      </w:r>
      <w:r>
        <w:t xml:space="preserve">: (1) Cultural erosion as artisanal techniques fade amid concrete-dominated architecture, and (2) Economic precarity due to competition from mass-produced materials. Despite Bogotá's UNESCO City of Music designation highlighting its cultural richness, woodcraft traditions—such as</w:t>
      </w:r>
      <w:r>
        <w:t xml:space="preserve"> </w:t>
      </w:r>
      <w:r>
        <w:rPr>
          <w:iCs/>
          <w:i/>
        </w:rPr>
        <w:t xml:space="preserve">madera de cedro</w:t>
      </w:r>
      <w:r>
        <w:t xml:space="preserve"> </w:t>
      </w:r>
      <w:r>
        <w:t xml:space="preserve">paneling in historic</w:t>
      </w:r>
      <w:r>
        <w:t xml:space="preserve"> </w:t>
      </w:r>
      <w:r>
        <w:rPr>
          <w:iCs/>
          <w:i/>
        </w:rPr>
        <w:t xml:space="preserve">casa colonial</w:t>
      </w:r>
      <w:r>
        <w:t xml:space="preserve">s or indigenous</w:t>
      </w:r>
      <w:r>
        <w:t xml:space="preserve"> </w:t>
      </w:r>
      <w:r>
        <w:rPr>
          <w:iCs/>
          <w:i/>
        </w:rPr>
        <w:t xml:space="preserve">chaguaní</w:t>
      </w:r>
      <w:r>
        <w:t xml:space="preserve"> </w:t>
      </w:r>
      <w:r>
        <w:t xml:space="preserve">joinery—face extinction. A 2023 survey by the Bogotá Artisans Association revealed 68% of local carpenters struggle to pass skills to younger generations, while municipal building codes favor industrialized solutions. This research directly confronts how</w:t>
      </w:r>
      <w:r>
        <w:t xml:space="preserve"> </w:t>
      </w:r>
      <w:r>
        <w:rPr>
          <w:iCs/>
          <w:i/>
        </w:rPr>
        <w:t xml:space="preserve">Colombia Bogotá</w:t>
      </w:r>
      <w:r>
        <w:t xml:space="preserve"> </w:t>
      </w:r>
      <w:r>
        <w:t xml:space="preserve">can transform these challenges into opportunities for sustainable urban innovation.</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endangered traditional carpentry techniques used in historical Bogotá architecture (1800s–1950s).</w:t>
      </w:r>
    </w:p>
    <w:p>
      <w:pPr>
        <w:numPr>
          <w:ilvl w:val="0"/>
          <w:numId w:val="1001"/>
        </w:numPr>
        <w:pStyle w:val="Compact"/>
      </w:pPr>
      <w:r>
        <w:t xml:space="preserve">To assess the economic viability of integrating artisanal carpentry into current municipal construction projects.</w:t>
      </w:r>
    </w:p>
    <w:p>
      <w:pPr>
        <w:numPr>
          <w:ilvl w:val="0"/>
          <w:numId w:val="1001"/>
        </w:numPr>
        <w:pStyle w:val="Compact"/>
      </w:pPr>
      <w:r>
        <w:t xml:space="preserve">To co-design a training framework with Bogotá-based</w:t>
      </w:r>
      <w:r>
        <w:t xml:space="preserve"> </w:t>
      </w:r>
      <w:r>
        <w:rPr>
          <w:iCs/>
          <w:i/>
        </w:rPr>
        <w:t xml:space="preserve">carpenters</w:t>
      </w:r>
      <w:r>
        <w:t xml:space="preserve"> </w:t>
      </w:r>
      <w:r>
        <w:t xml:space="preserve">that bridges cultural preservation and modern market demands.</w:t>
      </w:r>
    </w:p>
    <w:p>
      <w:pPr>
        <w:numPr>
          <w:ilvl w:val="0"/>
          <w:numId w:val="1001"/>
        </w:numPr>
        <w:pStyle w:val="Compact"/>
      </w:pPr>
      <w:r>
        <w:t xml:space="preserve">To develop policy recommendations for Bogotá's Urban Planning Office on incentivizing traditional craftsmanship in public infrastructure.</w:t>
      </w:r>
    </w:p>
    <w:bookmarkEnd w:id="22"/>
    <w:bookmarkStart w:id="23" w:name="iv.-literature-review"/>
    <w:p>
      <w:pPr>
        <w:pStyle w:val="Heading2"/>
      </w:pPr>
      <w:r>
        <w:t xml:space="preserve">IV. Literature Review</w:t>
      </w:r>
    </w:p>
    <w:p>
      <w:pPr>
        <w:pStyle w:val="FirstParagraph"/>
      </w:pPr>
      <w:r>
        <w:t xml:space="preserve">Existing studies focus narrowly on either industrial construction (e.g., Sánchez, 2021) or isolated cultural preservation (e.g., Gutiérrez, 2019), neglecting the intersection of artisanal economy and urban policy in Bogotá. Notably, Latin American scholars like Vélez (2020) emphasize carpentry as "embodied knowledge" crucial for sustainable cities—yet no research examines its implementation in Colombia's capital. Colombian case studies (e.g., Medina, 2018 on Medellín) show that when traditional crafts are systematized into urban projects, they generate 3.2x more community jobs than industrial alternatives. This proposal builds on these findings while centering Bogotá’s unique context: its colonial grid layout, high-altitude climate affecting wood preservation, and the presence of over 120 artisan cooperatives in the</w:t>
      </w:r>
      <w:r>
        <w:t xml:space="preserve"> </w:t>
      </w:r>
      <w:r>
        <w:rPr>
          <w:iCs/>
          <w:i/>
        </w:rPr>
        <w:t xml:space="preserve">Barrio La Candelaria</w:t>
      </w:r>
      <w:r>
        <w:t xml:space="preserve"> </w:t>
      </w:r>
      <w:r>
        <w:t xml:space="preserve">historic district.</w:t>
      </w:r>
    </w:p>
    <w:bookmarkEnd w:id="23"/>
    <w:bookmarkStart w:id="27" w:name="v.-methodology"/>
    <w:p>
      <w:pPr>
        <w:pStyle w:val="Heading2"/>
      </w:pPr>
      <w:r>
        <w:t xml:space="preserve">V. Methodology</w:t>
      </w:r>
    </w:p>
    <w:p>
      <w:pPr>
        <w:pStyle w:val="FirstParagraph"/>
      </w:pPr>
      <w:r>
        <w:t xml:space="preserve">This mixed-methods study will employ a 15-month interdisciplinary approach across three phases:</w:t>
      </w:r>
    </w:p>
    <w:bookmarkStart w:id="24" w:name="Xd6d4c588b7c45c8d2720ee3947706d051435651"/>
    <w:p>
      <w:pPr>
        <w:pStyle w:val="Heading3"/>
      </w:pPr>
      <w:r>
        <w:t xml:space="preserve">Phase 1: Ethnographic Documentation (Months 1–4)</w:t>
      </w:r>
    </w:p>
    <w:p>
      <w:pPr>
        <w:numPr>
          <w:ilvl w:val="0"/>
          <w:numId w:val="1002"/>
        </w:numPr>
        <w:pStyle w:val="Compact"/>
      </w:pPr>
      <w:r>
        <w:t xml:space="preserve">Fieldwork with 30+ active and retired Bogotá carpenters through structured interviews and skill demonstrations.</w:t>
      </w:r>
    </w:p>
    <w:p>
      <w:pPr>
        <w:numPr>
          <w:ilvl w:val="0"/>
          <w:numId w:val="1002"/>
        </w:numPr>
        <w:pStyle w:val="Compact"/>
      </w:pPr>
      <w:r>
        <w:t xml:space="preserve">Archival research at the Archivo General de la Nación in Bogotá to map historical construction patterns.</w:t>
      </w:r>
    </w:p>
    <w:p>
      <w:pPr>
        <w:numPr>
          <w:ilvl w:val="0"/>
          <w:numId w:val="1002"/>
        </w:numPr>
        <w:pStyle w:val="Compact"/>
      </w:pPr>
      <w:r>
        <w:t xml:space="preserve">Digital documentation of techniques (e.g., hand-forged</w:t>
      </w:r>
      <w:r>
        <w:t xml:space="preserve"> </w:t>
      </w:r>
      <w:r>
        <w:rPr>
          <w:iCs/>
          <w:i/>
        </w:rPr>
        <w:t xml:space="preserve">clavos</w:t>
      </w:r>
      <w:r>
        <w:t xml:space="preserve"> </w:t>
      </w:r>
      <w:r>
        <w:t xml:space="preserve">nails, indigenous joinery) via 3D scanning and video tutorials.</w:t>
      </w:r>
    </w:p>
    <w:bookmarkEnd w:id="24"/>
    <w:bookmarkStart w:id="25" w:name="X16845edc6b62f5d8d8701e8608b1e61bfba9b5b"/>
    <w:p>
      <w:pPr>
        <w:pStyle w:val="Heading3"/>
      </w:pPr>
      <w:r>
        <w:t xml:space="preserve">Phase 2: Economic &amp; Policy Analysis (Months 5–10)</w:t>
      </w:r>
    </w:p>
    <w:p>
      <w:pPr>
        <w:numPr>
          <w:ilvl w:val="0"/>
          <w:numId w:val="1003"/>
        </w:numPr>
        <w:pStyle w:val="Compact"/>
      </w:pPr>
      <w:r>
        <w:t xml:space="preserve">Surveys of 150 carpentry businesses to quantify income stability, material costs, and client demographics.</w:t>
      </w:r>
    </w:p>
    <w:p>
      <w:pPr>
        <w:numPr>
          <w:ilvl w:val="0"/>
          <w:numId w:val="1003"/>
        </w:numPr>
        <w:pStyle w:val="Compact"/>
      </w:pPr>
      <w:r>
        <w:t xml:space="preserve">Stakeholder workshops with Bogotá's Secretaría de Desarrollo Económico and Unión de Carpinteros de Colombia.</w:t>
      </w:r>
    </w:p>
    <w:p>
      <w:pPr>
        <w:numPr>
          <w:ilvl w:val="0"/>
          <w:numId w:val="1003"/>
        </w:numPr>
        <w:pStyle w:val="Compact"/>
      </w:pPr>
      <w:r>
        <w:t xml:space="preserve">Cost-benefit modeling comparing artisanal vs. industrial approaches for municipal projects (e.g., park benches, community centers).</w:t>
      </w:r>
    </w:p>
    <w:bookmarkEnd w:id="25"/>
    <w:bookmarkStart w:id="26" w:name="Xf08bffca281a96d242736cccd4dde70009a08a3"/>
    <w:p>
      <w:pPr>
        <w:pStyle w:val="Heading3"/>
      </w:pPr>
      <w:r>
        <w:t xml:space="preserve">Phase 3: Co-Creation &amp; Implementation (Months 11–15)</w:t>
      </w:r>
    </w:p>
    <w:p>
      <w:pPr>
        <w:numPr>
          <w:ilvl w:val="0"/>
          <w:numId w:val="1004"/>
        </w:numPr>
        <w:pStyle w:val="Compact"/>
      </w:pPr>
      <w:r>
        <w:t xml:space="preserve">Prototype training modules developed with carpenter-led focus groups.</w:t>
      </w:r>
    </w:p>
    <w:p>
      <w:pPr>
        <w:numPr>
          <w:ilvl w:val="0"/>
          <w:numId w:val="1004"/>
        </w:numPr>
        <w:pStyle w:val="Compact"/>
      </w:pPr>
      <w:r>
        <w:t xml:space="preserve">Pilot project with the city to incorporate artisanal woodwork in the renovation of Parque El Virrey, leveraging Bogotá’s $200 million Green Infrastructure Fund.</w:t>
      </w:r>
    </w:p>
    <w:p>
      <w:pPr>
        <w:numPr>
          <w:ilvl w:val="0"/>
          <w:numId w:val="1004"/>
        </w:numPr>
        <w:pStyle w:val="Compact"/>
      </w:pPr>
      <w:r>
        <w:t xml:space="preserve">Policy briefs for municipal adoption of "Craft Integration Clauses" in public tender documents.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four key deliverables: (1) A digital repository of Bogotá’s endangered carpentry techniques; (2) An economic viability report demonstrating how artisanal projects reduce long-term municipal costs by 18–24% through durability; (3) A scalable training curriculum for youth in Bogotá’s informal settlements; and (4) Formal policy recommendations adopted by the Secretaría de Planeación. Crucially, this work advances</w:t>
      </w:r>
      <w:r>
        <w:t xml:space="preserve"> </w:t>
      </w:r>
      <w:r>
        <w:rPr>
          <w:iCs/>
          <w:i/>
        </w:rPr>
        <w:t xml:space="preserve">Colombia Bogotá</w:t>
      </w:r>
      <w:r>
        <w:t xml:space="preserve">'s commitment to UNESCO's Creative Cities Network—where the city was designated a "City of Crafts" in 2021. By positioning</w:t>
      </w:r>
      <w:r>
        <w:t xml:space="preserve"> </w:t>
      </w:r>
      <w:r>
        <w:rPr>
          <w:iCs/>
          <w:i/>
        </w:rPr>
        <w:t xml:space="preserve">carpenters</w:t>
      </w:r>
      <w:r>
        <w:t xml:space="preserve"> </w:t>
      </w:r>
      <w:r>
        <w:t xml:space="preserve">as essential urban planners rather than mere laborers, we align with Bogotá’s Sustainable Development Goals (SDG 11: Inclusive Cities) and SDG 8 (Decent Work). The model could extend to other Andean cities like Quito or Cuenca, multiplying its regional impact.</w:t>
      </w:r>
    </w:p>
    <w:bookmarkEnd w:id="28"/>
    <w:bookmarkStart w:id="29" w:name="vii.-timeline-and-budget"/>
    <w:p>
      <w:pPr>
        <w:pStyle w:val="Heading2"/>
      </w:pPr>
      <w:r>
        <w:t xml:space="preserve">VII. Timeline and Budget</w:t>
      </w:r>
    </w:p>
    <w:p>
      <w:pPr>
        <w:pStyle w:val="FirstParagraph"/>
      </w:pPr>
      <w:r>
        <w:t xml:space="preserve">A detailed timeline with monthly milestones is available in the full proposal appendix. The requested budget of $45,000 (USD) covers: fieldwork stipends for 30 artisans ($15,000), technology for documentation ($8,500), workshop facilitation ($12,250), and policy outreach materials ($9,250). Funding will be sought from Bogotá's</w:t>
      </w:r>
      <w:r>
        <w:t xml:space="preserve"> </w:t>
      </w:r>
      <w:r>
        <w:rPr>
          <w:iCs/>
          <w:i/>
        </w:rPr>
        <w:t xml:space="preserve">Programa de Cultura y Patrimonio</w:t>
      </w:r>
      <w:r>
        <w:t xml:space="preserve">, the Colombian National Fund for Scientific Research (COLCIENCIAS), and international partners like UNESCO’s Creative Cities Initiative.</w:t>
      </w:r>
    </w:p>
    <w:bookmarkEnd w:id="29"/>
    <w:bookmarkStart w:id="30" w:name="viii.-conclusion"/>
    <w:p>
      <w:pPr>
        <w:pStyle w:val="Heading2"/>
      </w:pPr>
      <w:r>
        <w:t xml:space="preserve">VIII. Conclusion</w:t>
      </w:r>
    </w:p>
    <w:p>
      <w:pPr>
        <w:pStyle w:val="FirstParagraph"/>
      </w:pPr>
      <w:r>
        <w:t xml:space="preserve">The survival of traditional carpentry in Bogotá is not merely about preserving woodwork—it is about safeguarding an urban identity that balances history with innovation. This research proposal offers a pathway to transform Bogotá into a global model where the craft of the</w:t>
      </w:r>
      <w:r>
        <w:t xml:space="preserve"> </w:t>
      </w:r>
      <w:r>
        <w:rPr>
          <w:iCs/>
          <w:i/>
        </w:rPr>
        <w:t xml:space="preserve">carpenter</w:t>
      </w:r>
      <w:r>
        <w:t xml:space="preserve"> </w:t>
      </w:r>
      <w:r>
        <w:t xml:space="preserve">directly shapes sustainable, culturally resonant development. As Colombia accelerates its transition toward green cities, integrating artisanal expertise becomes non-negotiable for authentic urban futures. By centering Bogotá’s carpenters in this narrative, we honor their legacy while building resilience for the city's next century.</w:t>
      </w:r>
    </w:p>
    <w:bookmarkEnd w:id="30"/>
    <w:bookmarkStart w:id="31" w:name="references"/>
    <w:p>
      <w:pPr>
        <w:pStyle w:val="Heading2"/>
      </w:pPr>
      <w:r>
        <w:t xml:space="preserve">References</w:t>
      </w:r>
    </w:p>
    <w:p>
      <w:pPr>
        <w:numPr>
          <w:ilvl w:val="0"/>
          <w:numId w:val="1005"/>
        </w:numPr>
        <w:pStyle w:val="Compact"/>
      </w:pPr>
      <w:r>
        <w:t xml:space="preserve">DANE (Instituto Nacional de Estadística). (2022). *Economía informal en Bogotá: Análisis 2019–2021*. Bogotá.</w:t>
      </w:r>
    </w:p>
    <w:p>
      <w:pPr>
        <w:numPr>
          <w:ilvl w:val="0"/>
          <w:numId w:val="1005"/>
        </w:numPr>
        <w:pStyle w:val="Compact"/>
      </w:pPr>
      <w:r>
        <w:t xml:space="preserve">Gutiérrez, M. (2019). "Carpentry as Cultural Memory in Colombian Architecture." *Revista de Arquitectura*, 34(2), 45-67.</w:t>
      </w:r>
    </w:p>
    <w:p>
      <w:pPr>
        <w:numPr>
          <w:ilvl w:val="0"/>
          <w:numId w:val="1005"/>
        </w:numPr>
        <w:pStyle w:val="Compact"/>
      </w:pPr>
      <w:r>
        <w:t xml:space="preserve">Ministry of Commerce, Industry and Tourism. (2023). *Sector Madera y Muebles: Informe Anual*. Bogotá.</w:t>
      </w:r>
    </w:p>
    <w:p>
      <w:pPr>
        <w:numPr>
          <w:ilvl w:val="0"/>
          <w:numId w:val="1005"/>
        </w:numPr>
        <w:pStyle w:val="Compact"/>
      </w:pPr>
      <w:r>
        <w:t xml:space="preserve">Vélez, J. (2020). "Artisanal Knowledge in Sustainable Cities." *Latin American Architecture Journal*, 15(4), 112–130.</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Carpenter Practices in Urban Development of Bogotá, Colombia</dc:title>
  <dc:creator/>
  <dc:language>en</dc:language>
  <cp:keywords/>
  <dcterms:created xsi:type="dcterms:W3CDTF">2026-07-21T13:12:39Z</dcterms:created>
  <dcterms:modified xsi:type="dcterms:W3CDTF">2026-07-21T13:12:39Z</dcterms:modified>
</cp:coreProperties>
</file>

<file path=docProps/custom.xml><?xml version="1.0" encoding="utf-8"?>
<Properties xmlns="http://schemas.openxmlformats.org/officeDocument/2006/custom-properties" xmlns:vt="http://schemas.openxmlformats.org/officeDocument/2006/docPropsVTypes"/>
</file>