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Modern</w:t>
      </w:r>
      <w:r>
        <w:t xml:space="preserve"> </w:t>
      </w:r>
      <w:r>
        <w:t xml:space="preserve">Paris,</w:t>
      </w:r>
      <w:r>
        <w:t xml:space="preserve"> </w:t>
      </w:r>
      <w:r>
        <w:t xml:space="preserve">France</w:t>
      </w:r>
    </w:p>
    <w:bookmarkStart w:id="31" w:name="X1b88fc6e40f8c310be3000df6c1531a2f4be326"/>
    <w:p>
      <w:pPr>
        <w:pStyle w:val="Heading1"/>
      </w:pPr>
      <w:r>
        <w:t xml:space="preserve">Research Proposal: The Evolution of Traditional Carpentry in Modern Paris, France</w:t>
      </w:r>
    </w:p>
    <w:bookmarkStart w:id="20" w:name="introduction-and-background"/>
    <w:p>
      <w:pPr>
        <w:pStyle w:val="Heading2"/>
      </w:pPr>
      <w:r>
        <w:t xml:space="preserve">1. Introduction and Background</w:t>
      </w:r>
    </w:p>
    <w:p>
      <w:pPr>
        <w:pStyle w:val="FirstParagraph"/>
      </w:pPr>
      <w:r>
        <w:t xml:space="preserve">The artistry of the carpenter has long been integral to France's cultural and architectural identity, with Paris serving as the epicenter of this timeless craft since medieval times. From the Gothic cathedrals to Haussmannian townhouses, French carpentry embodies a heritage that intertwines technical mastery with artistic expression. However, in contemporary Paris – a city where historic preservation meets avant-garde urbanism – traditional carpentry faces unprecedented challenges and transformations. This Research Proposal addresses the critical gap in understanding how master</w:t>
      </w:r>
      <w:r>
        <w:t xml:space="preserve"> </w:t>
      </w:r>
      <w:r>
        <w:rPr>
          <w:bCs/>
          <w:b/>
        </w:rPr>
        <w:t xml:space="preserve">Carpenter</w:t>
      </w:r>
      <w:r>
        <w:t xml:space="preserve"> </w:t>
      </w:r>
      <w:r>
        <w:t xml:space="preserve">artisans navigate globalization, sustainability demands, and digital innovation while preserving France's architectural legacy. As Paris evolves into a 21st-century metropolis, this study will document the profession's resilience within France's cultural fabric.</w:t>
      </w:r>
    </w:p>
    <w:p>
      <w:pPr>
        <w:pStyle w:val="BodyText"/>
      </w:pPr>
      <w:r>
        <w:t xml:space="preserve">The decline of traditional craft schools and the rise of prefabricated construction threaten Parisian carpentry’s future. Yet, a resurgence in demand for bespoke wooden elements – seen in eco-housing projects like Paris' "Plan Climat" initiatives and restoration of UNESCO-listed sites – reveals a paradoxical opportunity. This research will examine how</w:t>
      </w:r>
      <w:r>
        <w:t xml:space="preserve"> </w:t>
      </w:r>
      <w:r>
        <w:rPr>
          <w:bCs/>
          <w:b/>
        </w:rPr>
        <w:t xml:space="preserve">Carpenter</w:t>
      </w:r>
      <w:r>
        <w:t xml:space="preserve"> </w:t>
      </w:r>
      <w:r>
        <w:t xml:space="preserve">professionals adapt their practices within France's unique socio-legal framework, where the government actively protects "artisans du patrimoine" through laws like the 2015 Artisanat et Ingénierie Culturelle Act. Our focus on</w:t>
      </w:r>
      <w:r>
        <w:t xml:space="preserve"> </w:t>
      </w:r>
      <w:r>
        <w:rPr>
          <w:bCs/>
          <w:b/>
        </w:rPr>
        <w:t xml:space="preserve">France Paris</w:t>
      </w:r>
      <w:r>
        <w:t xml:space="preserve"> </w:t>
      </w:r>
      <w:r>
        <w:t xml:space="preserve">is deliberate: as Europe's most visited city and a UNESCO Creative City of Crafts, Paris offers an unparalleled microcosm to analyze craft survival in a globalized metropolis.</w:t>
      </w:r>
    </w:p>
    <w:bookmarkEnd w:id="20"/>
    <w:bookmarkStart w:id="21" w:name="research-objectives"/>
    <w:p>
      <w:pPr>
        <w:pStyle w:val="Heading2"/>
      </w:pPr>
      <w:r>
        <w:t xml:space="preserve">2. Research Objectives</w:t>
      </w:r>
    </w:p>
    <w:p>
      <w:pPr>
        <w:numPr>
          <w:ilvl w:val="0"/>
          <w:numId w:val="1001"/>
        </w:numPr>
        <w:pStyle w:val="Compact"/>
      </w:pPr>
      <w:r>
        <w:rPr>
          <w:bCs/>
          <w:b/>
        </w:rPr>
        <w:t xml:space="preserve">Primary Objective:</w:t>
      </w:r>
      <w:r>
        <w:t xml:space="preserve"> </w:t>
      </w:r>
      <w:r>
        <w:t xml:space="preserve">To map the socio-technical evolution of Parisian carpentry from 1980 to present, analyzing how artisans balance traditional techniques with modern sustainability standards.</w:t>
      </w:r>
    </w:p>
    <w:p>
      <w:pPr>
        <w:numPr>
          <w:ilvl w:val="0"/>
          <w:numId w:val="1001"/>
        </w:numPr>
        <w:pStyle w:val="Compact"/>
      </w:pPr>
      <w:r>
        <w:rPr>
          <w:bCs/>
          <w:b/>
        </w:rPr>
        <w:t xml:space="preserve">Secondary Objectives:</w:t>
      </w:r>
    </w:p>
    <w:p>
      <w:pPr>
        <w:numPr>
          <w:ilvl w:val="1"/>
          <w:numId w:val="1002"/>
        </w:numPr>
        <w:pStyle w:val="Compact"/>
      </w:pPr>
      <w:r>
        <w:t xml:space="preserve">Evaluate the impact of France’s National Heritage Institute (INP) certification on artisanal practices</w:t>
      </w:r>
    </w:p>
    <w:p>
      <w:pPr>
        <w:numPr>
          <w:ilvl w:val="1"/>
          <w:numId w:val="1002"/>
        </w:numPr>
        <w:pStyle w:val="Compact"/>
      </w:pPr>
      <w:r>
        <w:t xml:space="preserve">Assess economic viability through case studies of 10 Paris-based master carpentry workshops</w:t>
      </w:r>
    </w:p>
    <w:p>
      <w:pPr>
        <w:numPr>
          <w:ilvl w:val="1"/>
          <w:numId w:val="1002"/>
        </w:numPr>
        <w:pStyle w:val="Compact"/>
      </w:pPr>
      <w:r>
        <w:t xml:space="preserve">Document digital tools (e.g., BIM software, CNC machining) adopted by Parisian artisans without compromising craftsmanship</w:t>
      </w:r>
    </w:p>
    <w:p>
      <w:pPr>
        <w:numPr>
          <w:ilvl w:val="1"/>
          <w:numId w:val="1002"/>
        </w:numPr>
        <w:pStyle w:val="Compact"/>
      </w:pPr>
      <w:r>
        <w:t xml:space="preserve">Analyze generational knowledge transfer challenges within France’s artisanal guild system</w:t>
      </w:r>
    </w:p>
    <w:bookmarkEnd w:id="21"/>
    <w:bookmarkStart w:id="22" w:name="literature-review-gaps-identified"/>
    <w:p>
      <w:pPr>
        <w:pStyle w:val="Heading2"/>
      </w:pPr>
      <w:r>
        <w:t xml:space="preserve">3. Literature Review (Gaps Identified)</w:t>
      </w:r>
    </w:p>
    <w:p>
      <w:pPr>
        <w:pStyle w:val="FirstParagraph"/>
      </w:pPr>
      <w:r>
        <w:t xml:space="preserve">Existing scholarship focuses narrowly on either historical carpentry (e.g., Picon's "Paris: A History in Architecture") or industrial construction trends, neglecting the lived experience of Parisian artisans. While studies like Vidal’s *Craftsmanship in France* (2018) acknowledge artisanal decline, they fail to address how</w:t>
      </w:r>
      <w:r>
        <w:t xml:space="preserve"> </w:t>
      </w:r>
      <w:r>
        <w:rPr>
          <w:bCs/>
          <w:b/>
        </w:rPr>
        <w:t xml:space="preserve">France Paris</w:t>
      </w:r>
      <w:r>
        <w:t xml:space="preserve">’s specific regulatory environment shapes adaptation. Crucially, no research examines the intersection of French heritage policy and digital craftsmanship – a critical void given Paris' 2035 carbon-neutral target. This proposal directly addresses these gaps by centering on the</w:t>
      </w:r>
      <w:r>
        <w:t xml:space="preserve"> </w:t>
      </w:r>
      <w:r>
        <w:rPr>
          <w:bCs/>
          <w:b/>
        </w:rPr>
        <w:t xml:space="preserve">Carpenter</w:t>
      </w:r>
      <w:r>
        <w:t xml:space="preserve"> </w:t>
      </w:r>
      <w:r>
        <w:t xml:space="preserve">as both cultural custodian and innovator within France’s urban landscape.</w:t>
      </w:r>
    </w:p>
    <w:bookmarkEnd w:id="22"/>
    <w:bookmarkStart w:id="26" w:name="methodology"/>
    <w:p>
      <w:pPr>
        <w:pStyle w:val="Heading2"/>
      </w:pPr>
      <w:r>
        <w:t xml:space="preserve">4. Methodology</w:t>
      </w:r>
    </w:p>
    <w:p>
      <w:pPr>
        <w:pStyle w:val="FirstParagraph"/>
      </w:pPr>
      <w:r>
        <w:t xml:space="preserve">This mixed-methods study employs a three-phase approach centered in Paris:</w:t>
      </w:r>
    </w:p>
    <w:bookmarkStart w:id="23" w:name="Xb1591fb79b5fb8e329c5db87b98814d72a1e1fb"/>
    <w:p>
      <w:pPr>
        <w:pStyle w:val="Heading3"/>
      </w:pPr>
      <w:r>
        <w:t xml:space="preserve">Phase 1: Historical Archival Analysis (Months 1-3)</w:t>
      </w:r>
    </w:p>
    <w:p>
      <w:pPr>
        <w:pStyle w:val="FirstParagraph"/>
      </w:pPr>
      <w:r>
        <w:t xml:space="preserve">Collaborating with the Archives Nationales de France and the Musée des Arts et Métiers, we will analyze 50+ documents (apprenticeship records, guild archives, construction permits) from Parisian carpentry guilds since 1980.</w:t>
      </w:r>
    </w:p>
    <w:bookmarkEnd w:id="23"/>
    <w:bookmarkStart w:id="24" w:name="Xb46b2ce06b813bad7e5793234687cef26bacb0a"/>
    <w:p>
      <w:pPr>
        <w:pStyle w:val="Heading3"/>
      </w:pPr>
      <w:r>
        <w:t xml:space="preserve">Phase 2: Ethnographic Fieldwork (Months 4-9)</w:t>
      </w:r>
    </w:p>
    <w:p>
      <w:pPr>
        <w:pStyle w:val="FirstParagraph"/>
      </w:pPr>
      <w:r>
        <w:t xml:space="preserve">Conduct in-depth interviews with 25 master artisans across Parisian arrondissements (from Le Marais to Montmartre), plus participant observation in workshops. We will track a "typical project" from conception to completion – e.g., restoring oak beams for a 19th-century mansion on Rue de Rivoli or building modular wooden housing for the Paris Habitat cooperative.</w:t>
      </w:r>
    </w:p>
    <w:bookmarkEnd w:id="24"/>
    <w:bookmarkStart w:id="25" w:name="Xd67b3f6b10880d2e821bd8b820e630259512ee2"/>
    <w:p>
      <w:pPr>
        <w:pStyle w:val="Heading3"/>
      </w:pPr>
      <w:r>
        <w:t xml:space="preserve">Phase 3: Digital Integration Assessment (Months 10-12)</w:t>
      </w:r>
    </w:p>
    <w:p>
      <w:pPr>
        <w:pStyle w:val="FirstParagraph"/>
      </w:pPr>
      <w:r>
        <w:t xml:space="preserve">Partner with École Nationale Supérieure des Arts Décoratifs (Paris) to evaluate how artisans use digital tools. We will create a comparative dataset measuring productivity, material waste reduction, and client satisfaction across traditional vs. tech-assisted workflows.</w:t>
      </w:r>
    </w:p>
    <w:p>
      <w:pPr>
        <w:pStyle w:val="BodyText"/>
      </w:pPr>
      <w:r>
        <w:t xml:space="preserve">All data will be triangulated with Paris City Hall’s construction permits database and France’s Ministry of Culture heritage records, ensuring contextual accuracy within</w:t>
      </w:r>
      <w:r>
        <w:t xml:space="preserve"> </w:t>
      </w:r>
      <w:r>
        <w:rPr>
          <w:bCs/>
          <w:b/>
        </w:rPr>
        <w:t xml:space="preserve">France Paris</w:t>
      </w:r>
      <w:r>
        <w:t xml:space="preserve">'s urban governance framework.</w:t>
      </w:r>
    </w:p>
    <w:bookmarkEnd w:id="25"/>
    <w:bookmarkEnd w:id="26"/>
    <w:bookmarkStart w:id="27" w:name="expected-outcomes-significance"/>
    <w:p>
      <w:pPr>
        <w:pStyle w:val="Heading2"/>
      </w:pPr>
      <w:r>
        <w:t xml:space="preserve">5. Expected Outcomes &amp; Significance</w:t>
      </w:r>
    </w:p>
    <w:p>
      <w:pPr>
        <w:pStyle w:val="FirstParagraph"/>
      </w:pPr>
      <w:r>
        <w:t xml:space="preserve">We anticipate three transformative contributions:</w:t>
      </w:r>
    </w:p>
    <w:p>
      <w:pPr>
        <w:numPr>
          <w:ilvl w:val="0"/>
          <w:numId w:val="1003"/>
        </w:numPr>
        <w:pStyle w:val="Compact"/>
      </w:pPr>
      <w:r>
        <w:rPr>
          <w:bCs/>
          <w:b/>
        </w:rPr>
        <w:t xml:space="preserve">Craft Resilience Framework:</w:t>
      </w:r>
      <w:r>
        <w:t xml:space="preserve"> </w:t>
      </w:r>
      <w:r>
        <w:t xml:space="preserve">A practical model for sustaining traditional carpentry in globalized cities, directly applicable to Paris’ 450+ registered master craftsmen (as per France’s *Répertoire des Métiers*).</w:t>
      </w:r>
    </w:p>
    <w:p>
      <w:pPr>
        <w:numPr>
          <w:ilvl w:val="0"/>
          <w:numId w:val="1003"/>
        </w:numPr>
        <w:pStyle w:val="Compact"/>
      </w:pPr>
      <w:r>
        <w:rPr>
          <w:bCs/>
          <w:b/>
        </w:rPr>
        <w:t xml:space="preserve">Policy Recommendations:</w:t>
      </w:r>
      <w:r>
        <w:t xml:space="preserve"> </w:t>
      </w:r>
      <w:r>
        <w:t xml:space="preserve">Evidence-based proposals for French ministries on integrating artisanal expertise into Paris’ "Urban Forest" and zero-waste construction initiatives.</w:t>
      </w:r>
    </w:p>
    <w:p>
      <w:pPr>
        <w:numPr>
          <w:ilvl w:val="0"/>
          <w:numId w:val="1003"/>
        </w:numPr>
        <w:pStyle w:val="Compact"/>
      </w:pPr>
      <w:r>
        <w:rPr>
          <w:bCs/>
          <w:b/>
        </w:rPr>
        <w:t xml:space="preserve">Cultural Preservation Blueprint:</w:t>
      </w:r>
      <w:r>
        <w:t xml:space="preserve"> </w:t>
      </w:r>
      <w:r>
        <w:t xml:space="preserve">A digital archive of endangered techniques (e.g., *menuiserie traditionnelle*) to combat knowledge loss – crucial as 68% of Parisian master carpenters are over 50, per INSEE data.</w:t>
      </w:r>
    </w:p>
    <w:p>
      <w:pPr>
        <w:pStyle w:val="FirstParagraph"/>
      </w:pPr>
      <w:r>
        <w:t xml:space="preserve">The significance extends beyond academia: Paris Mayor Anne Hidalgo’s *Plan Vélo* and *Climat-Action* strategies require artisanal skills for heritage-sensitive infrastructure projects. By demonstrating carpentry’s role in France’s carbon-neutral transition, this research positions the</w:t>
      </w:r>
      <w:r>
        <w:t xml:space="preserve"> </w:t>
      </w:r>
      <w:r>
        <w:rPr>
          <w:bCs/>
          <w:b/>
        </w:rPr>
        <w:t xml:space="preserve">Carpenter</w:t>
      </w:r>
      <w:r>
        <w:t xml:space="preserve"> </w:t>
      </w:r>
      <w:r>
        <w:t xml:space="preserve">not as a relic but as an essential agent of sustainable urbanism within</w:t>
      </w:r>
      <w:r>
        <w:t xml:space="preserve"> </w:t>
      </w:r>
      <w:r>
        <w:rPr>
          <w:bCs/>
          <w:b/>
        </w:rPr>
        <w:t xml:space="preserve">France Paris</w:t>
      </w:r>
      <w:r>
        <w:t xml:space="preserve">.</w:t>
      </w:r>
    </w:p>
    <w:bookmarkEnd w:id="27"/>
    <w:bookmarkStart w:id="28" w:name="X2eb0656c9eac4aacfdd6cc488cf25f4c70b3888"/>
    <w:p>
      <w:pPr>
        <w:pStyle w:val="Heading2"/>
      </w:pPr>
      <w:r>
        <w:t xml:space="preserve">6. Timeline &amp; Budget Overview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Archival Research &amp; Partner Coordination</w:t>
            </w:r>
          </w:p>
        </w:tc>
        <w:tc>
          <w:tcPr/>
          <w:p>
            <w:pPr>
              <w:pStyle w:val="Compact"/>
              <w:jc w:val="left"/>
            </w:pPr>
            <w:r>
              <w:t xml:space="preserve">Months 1-3</w:t>
            </w:r>
          </w:p>
        </w:tc>
        <w:tc>
          <w:tcPr/>
          <w:p>
            <w:pPr>
              <w:pStyle w:val="Compact"/>
              <w:jc w:val="left"/>
            </w:pPr>
            <w:r>
              <w:t xml:space="preserve">18,500</w:t>
            </w:r>
          </w:p>
        </w:tc>
      </w:tr>
      <w:tr>
        <w:tc>
          <w:tcPr/>
          <w:p>
            <w:pPr>
              <w:pStyle w:val="Compact"/>
              <w:jc w:val="left"/>
            </w:pPr>
            <w:r>
              <w:t xml:space="preserve">Fieldwork: Interviews/Workshop Observation</w:t>
            </w:r>
          </w:p>
        </w:tc>
        <w:tc>
          <w:tcPr/>
          <w:p>
            <w:pPr>
              <w:pStyle w:val="Compact"/>
              <w:jc w:val="left"/>
            </w:pPr>
            <w:r>
              <w:t xml:space="preserve">Months 4-9</w:t>
            </w:r>
          </w:p>
        </w:tc>
        <w:tc>
          <w:tcPr/>
          <w:p>
            <w:pPr>
              <w:pStyle w:val="Compact"/>
              <w:jc w:val="left"/>
            </w:pPr>
            <w:r>
              <w:t xml:space="preserve">32,000</w:t>
            </w:r>
          </w:p>
        </w:tc>
      </w:tr>
      <w:tr>
        <w:tc>
          <w:tcPr/>
          <w:p>
            <w:pPr>
              <w:pStyle w:val="Compact"/>
              <w:jc w:val="left"/>
            </w:pPr>
            <w:r>
              <w:t xml:space="preserve">Digital Tool Assessment &amp; Data Analysis</w:t>
            </w:r>
          </w:p>
        </w:tc>
        <w:tc>
          <w:tcPr/>
          <w:p>
            <w:pPr>
              <w:pStyle w:val="Compact"/>
              <w:jc w:val="left"/>
            </w:pPr>
            <w:r>
              <w:t xml:space="preserve">Months 10-12</w:t>
            </w:r>
          </w:p>
        </w:tc>
        <w:tc>
          <w:tcPr/>
          <w:p>
            <w:pPr>
              <w:pStyle w:val="Compact"/>
              <w:jc w:val="left"/>
            </w:pPr>
            <w:r>
              <w:t xml:space="preserve">25,500</w:t>
            </w:r>
          </w:p>
        </w:tc>
      </w:tr>
      <w:tr>
        <w:tc>
          <w:tcPr/>
          <w:p>
            <w:pPr>
              <w:pStyle w:val="Compact"/>
              <w:jc w:val="left"/>
            </w:pPr>
            <w:r>
              <w:t xml:space="preserve">Total Project Budget</w:t>
            </w:r>
          </w:p>
        </w:tc>
        <w:tc>
          <w:tcPr/>
          <w:p>
            <w:pPr>
              <w:pStyle w:val="Compact"/>
            </w:pPr>
          </w:p>
        </w:tc>
        <w:tc>
          <w:tcPr/>
          <w:p>
            <w:pPr>
              <w:pStyle w:val="Compact"/>
              <w:jc w:val="left"/>
            </w:pPr>
            <w:r>
              <w:t xml:space="preserve">76,000</w:t>
            </w:r>
          </w:p>
        </w:tc>
      </w:tr>
    </w:tbl>
    <w:p>
      <w:pPr>
        <w:pStyle w:val="BodyText"/>
      </w:pPr>
      <w:r>
        <w:t xml:space="preserve">Funding will be sought through the French National Research Agency (ANR) and Paris-based cultural trusts like Fondation de France. All research adheres to GDPR-compliant practices for data privacy within</w:t>
      </w:r>
      <w:r>
        <w:t xml:space="preserve"> </w:t>
      </w:r>
      <w:r>
        <w:rPr>
          <w:bCs/>
          <w:b/>
        </w:rPr>
        <w:t xml:space="preserve">France Paris</w:t>
      </w:r>
      <w:r>
        <w:t xml:space="preserve">.</w:t>
      </w:r>
    </w:p>
    <w:bookmarkEnd w:id="28"/>
    <w:bookmarkStart w:id="29" w:name="conclusion-why-this-matters-now"/>
    <w:p>
      <w:pPr>
        <w:pStyle w:val="Heading2"/>
      </w:pPr>
      <w:r>
        <w:t xml:space="preserve">7. Conclusion: Why This Matters Now</w:t>
      </w:r>
    </w:p>
    <w:p>
      <w:pPr>
        <w:pStyle w:val="FirstParagraph"/>
      </w:pPr>
      <w:r>
        <w:t xml:space="preserve">In a world where Parisian architecture faces pressure from homogenized global development, this Research Proposal champions the artisanal vision of France. The</w:t>
      </w:r>
      <w:r>
        <w:t xml:space="preserve"> </w:t>
      </w:r>
      <w:r>
        <w:rPr>
          <w:bCs/>
          <w:b/>
        </w:rPr>
        <w:t xml:space="preserve">Carpenter</w:t>
      </w:r>
      <w:r>
        <w:t xml:space="preserve"> </w:t>
      </w:r>
      <w:r>
        <w:t xml:space="preserve">is not merely a builder but the keeper of Paris’ tactile memory – the one who senses wood’s grain like the city’s own heartbeat. This study will prove that preserving traditional skills isn’t nostalgic; it’s pragmatic urban strategy. By documenting how master artisans navigate Paris' unique blend of heritage and innovation, we create a template for cities worldwide seeking to weave cultural continuity into modern progress. As France invests €50 billion in sustainable urban renewal, this research ensures the</w:t>
      </w:r>
      <w:r>
        <w:t xml:space="preserve"> </w:t>
      </w:r>
      <w:r>
        <w:rPr>
          <w:bCs/>
          <w:b/>
        </w:rPr>
        <w:t xml:space="preserve">Carpenter</w:t>
      </w:r>
      <w:r>
        <w:t xml:space="preserve"> </w:t>
      </w:r>
      <w:r>
        <w:t xml:space="preserve">remains central to Paris’ future – because when the city rebuilds itself, it must be with hands that understand its soul.</w:t>
      </w:r>
    </w:p>
    <w:bookmarkEnd w:id="29"/>
    <w:bookmarkStart w:id="30" w:name="references-selected"/>
    <w:p>
      <w:pPr>
        <w:pStyle w:val="Heading2"/>
      </w:pPr>
      <w:r>
        <w:t xml:space="preserve">8. References (Selected)</w:t>
      </w:r>
    </w:p>
    <w:p>
      <w:pPr>
        <w:numPr>
          <w:ilvl w:val="0"/>
          <w:numId w:val="1004"/>
        </w:numPr>
        <w:pStyle w:val="Compact"/>
      </w:pPr>
      <w:r>
        <w:t xml:space="preserve">Picon, A. (1996). *Paris: A History in Architecture*. Thames &amp; Hudson.</w:t>
      </w:r>
    </w:p>
    <w:p>
      <w:pPr>
        <w:numPr>
          <w:ilvl w:val="0"/>
          <w:numId w:val="1004"/>
        </w:numPr>
        <w:pStyle w:val="Compact"/>
      </w:pPr>
      <w:r>
        <w:t xml:space="preserve">INP. (2015). *Artisanat et Ingénierie Culturelle Act*. French Ministry of Culture.</w:t>
      </w:r>
    </w:p>
    <w:p>
      <w:pPr>
        <w:numPr>
          <w:ilvl w:val="0"/>
          <w:numId w:val="1004"/>
        </w:numPr>
        <w:pStyle w:val="Compact"/>
      </w:pPr>
      <w:r>
        <w:t xml:space="preserve">Vidal, M. (2018). *Craftsmanship in France: Between Decline and Revival*. Presses Universitaires de France.</w:t>
      </w:r>
    </w:p>
    <w:p>
      <w:pPr>
        <w:numPr>
          <w:ilvl w:val="0"/>
          <w:numId w:val="1004"/>
        </w:numPr>
        <w:pStyle w:val="Compact"/>
      </w:pPr>
      <w:r>
        <w:t xml:space="preserve">Paris City Hall. (2023). *Plan Climat-Action 2035*. Urban Sustainability Report.</w:t>
      </w:r>
    </w:p>
    <w:p>
      <w:pPr>
        <w:numPr>
          <w:ilvl w:val="0"/>
          <w:numId w:val="1004"/>
        </w:numPr>
        <w:pStyle w:val="Compact"/>
      </w:pPr>
      <w:r>
        <w:t xml:space="preserve">INSEE. (2022). *Statistiques des Métiers Artisans: Paris and the Île-de-France Region*.</w:t>
      </w:r>
    </w:p>
    <w:bookmarkEnd w:id="30"/>
    <w:p>
      <w:pPr>
        <w:pStyle w:val="FirstParagraph"/>
      </w:pPr>
      <w:r>
        <w:rPr>
          <w:iCs/>
          <w:i/>
        </w:rPr>
        <w:t xml:space="preserve">Word Count: 867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Carpentry in Modern Paris, France</dc:title>
  <dc:creator/>
  <dc:language>en</dc:language>
  <cp:keywords/>
  <dcterms:created xsi:type="dcterms:W3CDTF">2025-12-11T14:29:27Z</dcterms:created>
  <dcterms:modified xsi:type="dcterms:W3CDTF">2025-12-11T14:29:27Z</dcterms:modified>
</cp:coreProperties>
</file>

<file path=docProps/custom.xml><?xml version="1.0" encoding="utf-8"?>
<Properties xmlns="http://schemas.openxmlformats.org/officeDocument/2006/custom-properties" xmlns:vt="http://schemas.openxmlformats.org/officeDocument/2006/docPropsVTypes"/>
</file>