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fdd36d3c665ff321a506936bfc5f0ae0015005"/>
    <w:p>
      <w:pPr>
        <w:pStyle w:val="Heading1"/>
      </w:pPr>
      <w:r>
        <w:t xml:space="preserve">Research Proposal: Advancing the Carpentry Profession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urban development across its major cities, with Riyadh emerging as the epicenter of this transformation. As construction projects scale to accommodate population growth and economic diversification, the demand for skilled tradespeople—including the</w:t>
      </w:r>
      <w:r>
        <w:t xml:space="preserve"> </w:t>
      </w:r>
      <w:r>
        <w:rPr>
          <w:bCs/>
          <w:b/>
        </w:rPr>
        <w:t xml:space="preserve">Carpenter</w:t>
      </w:r>
      <w:r>
        <w:t xml:space="preserve">—has surged exponentially. However, despite being fundamental to residential, commercial, and infrastructure projects from Diplomatic Quarter villas to NEOM megaprojects, the carpentry sector in Riyadh faces critical challenges: a skills gap between traditional practices and modern construction demands, insufficient local training pathways for Saudi nationals (Saudization), and fragmented industry standards. This research proposal addresses these gaps through an evidence-based study focused exclusively on Riyadh’s carpentry landscape, positioning it as a strategic pillar for sustainable urban development within</w:t>
      </w:r>
      <w:r>
        <w:t xml:space="preserve"> </w:t>
      </w:r>
      <w:r>
        <w:rPr>
          <w:bCs/>
          <w:b/>
        </w:rPr>
        <w:t xml:space="preserve">Saudi Arabia</w:t>
      </w:r>
      <w:r>
        <w:t xml:space="preserve">.</w:t>
      </w:r>
    </w:p>
    <w:bookmarkEnd w:id="20"/>
    <w:bookmarkStart w:id="21" w:name="problem-statement"/>
    <w:p>
      <w:pPr>
        <w:pStyle w:val="Heading2"/>
      </w:pPr>
      <w:r>
        <w:t xml:space="preserve">2. Problem Statement</w:t>
      </w:r>
    </w:p>
    <w:p>
      <w:pPr>
        <w:pStyle w:val="FirstParagraph"/>
      </w:pPr>
      <w:r>
        <w:t xml:space="preserve">Riyadh’s construction sector contributes over 15% to the city’s GDP yet struggles with labor shortages in specialized trades. Current statistics reveal that only 38% of carpenters in Riyadh are Saudi nationals, with many expatriate workers lacking formal accreditation or cultural adaptation training. This dependency on foreign labor undermines Vision 2030’s "Saudization" targets (targeting 50% national workforce by 2030) and creates operational risks during global labor fluctuations. Furthermore, traditional carpentry methods—such as hand-cutting timber for structural framing—are increasingly incompatible with Riyadh’s rapid adoption of prefabricated building systems and BIM (Building Information Modeling). The absence of standardized skill benchmarks for</w:t>
      </w:r>
      <w:r>
        <w:t xml:space="preserve"> </w:t>
      </w:r>
      <w:r>
        <w:rPr>
          <w:bCs/>
          <w:b/>
        </w:rPr>
        <w:t xml:space="preserve">Carpenter</w:t>
      </w:r>
      <w:r>
        <w:t xml:space="preserve">s in the</w:t>
      </w:r>
      <w:r>
        <w:t xml:space="preserve"> </w:t>
      </w:r>
      <w:r>
        <w:rPr>
          <w:bCs/>
          <w:b/>
        </w:rPr>
        <w:t xml:space="preserve">Saudi Arabia Riyadh</w:t>
      </w:r>
      <w:r>
        <w:t xml:space="preserve"> </w:t>
      </w:r>
      <w:r>
        <w:t xml:space="preserve">context has led to inconsistent quality, safety hazards, and project delays. Without urgent intervention, these issues threaten to bottleneck Riyadh’s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carpentry practices across 10 major construction firms in Riyadh, evaluating skill proficiency against international standards (e.g., ISO 9001) and Vision 2030 labor requirements.</w:t>
      </w:r>
    </w:p>
    <w:p>
      <w:pPr>
        <w:numPr>
          <w:ilvl w:val="0"/>
          <w:numId w:val="1001"/>
        </w:numPr>
        <w:pStyle w:val="Compact"/>
      </w:pPr>
      <w:r>
        <w:t xml:space="preserve">To identify barriers to Saudization among local candidates—including cultural perceptions of manual trades, vocational training gaps, and workplace safety concerns—through focus groups with 50+ Saudi-trained carpenters and apprentices.</w:t>
      </w:r>
    </w:p>
    <w:p>
      <w:pPr>
        <w:numPr>
          <w:ilvl w:val="0"/>
          <w:numId w:val="1001"/>
        </w:numPr>
        <w:pStyle w:val="Compact"/>
      </w:pPr>
      <w:r>
        <w:t xml:space="preserve">To develop a localized competency framework for Riyadh-based carpenters integrating traditional craftsmanship with modern techniques (e.g., CNC machining, sustainable wood sourcing) tailored to the city’s climate (high heat, dust exposure).</w:t>
      </w:r>
    </w:p>
    <w:p>
      <w:pPr>
        <w:numPr>
          <w:ilvl w:val="0"/>
          <w:numId w:val="1001"/>
        </w:numPr>
        <w:pStyle w:val="Compact"/>
      </w:pPr>
      <w:r>
        <w:t xml:space="preserve">To propose scalable training models—leveraging partnerships with Saudi Technical and Vocational Training Corporation (TVTC) and private sector firms—to accelerate national workforce development.</w:t>
      </w:r>
    </w:p>
    <w:bookmarkEnd w:id="22"/>
    <w:bookmarkStart w:id="23" w:name="methodology"/>
    <w:p>
      <w:pPr>
        <w:pStyle w:val="Heading2"/>
      </w:pPr>
      <w:r>
        <w:t xml:space="preserve">4.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 Quantitative Assessment</w:t>
      </w:r>
      <w:r>
        <w:t xml:space="preserve"> </w:t>
      </w:r>
      <w:r>
        <w:t xml:space="preserve">– Surveys distributed to 300+ carpenters across Riyadh’s construction sites, measuring skill levels, certification status, and job satisfaction. Data will be cross-referenced with Ministry of Housing records on project delays linked to trades.</w:t>
      </w:r>
    </w:p>
    <w:p>
      <w:pPr>
        <w:numPr>
          <w:ilvl w:val="0"/>
          <w:numId w:val="1002"/>
        </w:numPr>
        <w:pStyle w:val="Compact"/>
      </w:pPr>
      <w:r>
        <w:rPr>
          <w:bCs/>
          <w:b/>
        </w:rPr>
        <w:t xml:space="preserve">Phase 2 (Months 5-10): Qualitative Deep Dive</w:t>
      </w:r>
      <w:r>
        <w:t xml:space="preserve"> </w:t>
      </w:r>
      <w:r>
        <w:t xml:space="preserve">– Semi-structured interviews with construction managers (N=25) and focus groups with Saudi carpentry trainees (N=40), exploring cultural barriers and training preferences. Site visits to ongoing projects in King Abdullah Financial District and Diriyah Gate will document real-world practice gaps.</w:t>
      </w:r>
    </w:p>
    <w:p>
      <w:pPr>
        <w:numPr>
          <w:ilvl w:val="0"/>
          <w:numId w:val="1002"/>
        </w:numPr>
        <w:pStyle w:val="Compact"/>
      </w:pPr>
      <w:r>
        <w:rPr>
          <w:bCs/>
          <w:b/>
        </w:rPr>
        <w:t xml:space="preserve">Phase 3 (Months 11-18): Solution Co-Creation</w:t>
      </w:r>
      <w:r>
        <w:t xml:space="preserve"> </w:t>
      </w:r>
      <w:r>
        <w:t xml:space="preserve">– Workshops with Riyadh Municipality, TVTC, and industry leaders to draft a pilot training curriculum. This will incorporate: (a) Saudi cultural sensitivity modules; (b) hands-on workshops using local hardwoods like Acacia; (c) mobile apps for on-site skill verification via QR-coded project documentation.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Riyadh-specific solutions to elevate the carpentry profession:</w:t>
      </w:r>
    </w:p>
    <w:p>
      <w:pPr>
        <w:numPr>
          <w:ilvl w:val="0"/>
          <w:numId w:val="1003"/>
        </w:numPr>
        <w:pStyle w:val="Compact"/>
      </w:pPr>
      <w:r>
        <w:rPr>
          <w:bCs/>
          <w:b/>
        </w:rPr>
        <w:t xml:space="preserve">A National Carpentry Competency Framework for Riyadh</w:t>
      </w:r>
      <w:r>
        <w:t xml:space="preserve">, defining 10+ skill tiers from entry-level to master craftsman, aligned with Vision 2030’s "Saudization" KPIs. This framework will be submitted to the Saudi Ministry of Human Resources for adoption in TVTC certification.</w:t>
      </w:r>
    </w:p>
    <w:p>
      <w:pPr>
        <w:numPr>
          <w:ilvl w:val="0"/>
          <w:numId w:val="1003"/>
        </w:numPr>
        <w:pStyle w:val="Compact"/>
      </w:pPr>
      <w:r>
        <w:rPr>
          <w:bCs/>
          <w:b/>
        </w:rPr>
        <w:t xml:space="preserve">A Scalable Training Blueprint</w:t>
      </w:r>
      <w:r>
        <w:t xml:space="preserve"> </w:t>
      </w:r>
      <w:r>
        <w:t xml:space="preserve">targeting vocational colleges in Riyadh (e.g., Prince Mohammed Bin Salman College), integrating digital tools and sustainability principles. The model aims to train 500+ Saudi carpenters within three years, reducing expatriate dependency by 30%.</w:t>
      </w:r>
    </w:p>
    <w:p>
      <w:pPr>
        <w:numPr>
          <w:ilvl w:val="0"/>
          <w:numId w:val="1003"/>
        </w:numPr>
        <w:pStyle w:val="Compact"/>
      </w:pPr>
      <w:r>
        <w:rPr>
          <w:bCs/>
          <w:b/>
        </w:rPr>
        <w:t xml:space="preserve">Economic Impact Analysis</w:t>
      </w:r>
      <w:r>
        <w:t xml:space="preserve"> </w:t>
      </w:r>
      <w:r>
        <w:t xml:space="preserve">demonstrating how skilled local carpentry can reduce project timelines by an estimated 15–20% (based on UAE case studies), directly supporting Riyadh’s goal of halving construction costs per square meter.</w:t>
      </w:r>
    </w:p>
    <w:p>
      <w:pPr>
        <w:numPr>
          <w:ilvl w:val="0"/>
          <w:numId w:val="1003"/>
        </w:numPr>
        <w:pStyle w:val="Compact"/>
      </w:pPr>
      <w:r>
        <w:rPr>
          <w:bCs/>
          <w:b/>
        </w:rPr>
        <w:t xml:space="preserve">Cultural Shift Documentation</w:t>
      </w:r>
      <w:r>
        <w:t xml:space="preserve"> </w:t>
      </w:r>
      <w:r>
        <w:t xml:space="preserve">tracking changes in Saudi youth perceptions of carpentry as a "high-status career," addressing misconceptions that prioritize office-based jobs over skilled trades.</w:t>
      </w:r>
    </w:p>
    <w:p>
      <w:pPr>
        <w:pStyle w:val="FirstParagraph"/>
      </w:pPr>
      <w:r>
        <w:t xml:space="preserve">The significance extends beyond Riyadh: as the kingdom’s administrative and economic capital, solving carpentry challenges here will set a replicable model for 13 other major cities under Vision 2030. Crucially, this research centers on the</w:t>
      </w:r>
      <w:r>
        <w:t xml:space="preserve"> </w:t>
      </w:r>
      <w:r>
        <w:rPr>
          <w:bCs/>
          <w:b/>
        </w:rPr>
        <w:t xml:space="preserve">Carpenter</w:t>
      </w:r>
      <w:r>
        <w:t xml:space="preserve"> </w:t>
      </w:r>
      <w:r>
        <w:t xml:space="preserve">as a catalyst—not just an employee—positioning them as innovators in Riyadh’s sustainable building ecosystem.</w:t>
      </w:r>
    </w:p>
    <w:bookmarkEnd w:id="24"/>
    <w:bookmarkStart w:id="25" w:name="timeline-and-feasibility"/>
    <w:p>
      <w:pPr>
        <w:pStyle w:val="Heading2"/>
      </w:pPr>
      <w:r>
        <w:t xml:space="preserve">6. Timeline and Feasibility</w:t>
      </w:r>
    </w:p>
    <w:p>
      <w:pPr>
        <w:pStyle w:val="FirstParagraph"/>
      </w:pPr>
      <w:r>
        <w:t xml:space="preserve">The project aligns with Riyadh’s 2030 urban development roadmap, with data collection timed to coincide with the peak construction season (October–March). Partnerships secured include:</w:t>
      </w:r>
    </w:p>
    <w:p>
      <w:pPr>
        <w:numPr>
          <w:ilvl w:val="0"/>
          <w:numId w:val="1004"/>
        </w:numPr>
        <w:pStyle w:val="Compact"/>
      </w:pPr>
      <w:r>
        <w:t xml:space="preserve">Riyadh Municipality (access to public projects)</w:t>
      </w:r>
    </w:p>
    <w:p>
      <w:pPr>
        <w:numPr>
          <w:ilvl w:val="0"/>
          <w:numId w:val="1004"/>
        </w:numPr>
        <w:pStyle w:val="Compact"/>
      </w:pPr>
      <w:r>
        <w:t xml:space="preserve">King Abdullah University of Science and Technology (KAUST) – Engineering faculty for technical validation</w:t>
      </w:r>
    </w:p>
    <w:p>
      <w:pPr>
        <w:numPr>
          <w:ilvl w:val="0"/>
          <w:numId w:val="1004"/>
        </w:numPr>
        <w:pStyle w:val="Compact"/>
      </w:pPr>
      <w:r>
        <w:t xml:space="preserve">Saudi Contractors Association – Industry stakeholder alignment</w:t>
      </w:r>
    </w:p>
    <w:bookmarkEnd w:id="25"/>
    <w:bookmarkStart w:id="26" w:name="conclusion"/>
    <w:p>
      <w:pPr>
        <w:pStyle w:val="Heading2"/>
      </w:pPr>
      <w:r>
        <w:t xml:space="preserve">7. Conclusion</w:t>
      </w:r>
    </w:p>
    <w:p>
      <w:pPr>
        <w:pStyle w:val="FirstParagraph"/>
      </w:pPr>
      <w:r>
        <w:t xml:space="preserve">The success of Riyadh’s Vision 2030 transformation hinges on the invisible artisans behind every building—particularly the skilled</w:t>
      </w:r>
      <w:r>
        <w:t xml:space="preserve"> </w:t>
      </w:r>
      <w:r>
        <w:rPr>
          <w:bCs/>
          <w:b/>
        </w:rPr>
        <w:t xml:space="preserve">Carpenter</w:t>
      </w:r>
      <w:r>
        <w:t xml:space="preserve">. This research proposal bridges a critical gap in understanding how to professionalize, localize, and modernize this indispensable trade within</w:t>
      </w:r>
      <w:r>
        <w:t xml:space="preserve"> </w:t>
      </w:r>
      <w:r>
        <w:rPr>
          <w:bCs/>
          <w:b/>
        </w:rPr>
        <w:t xml:space="preserve">Saudi Arabia Riyadh</w:t>
      </w:r>
      <w:r>
        <w:t xml:space="preserve">. By moving beyond generic labor studies to focus on context-specific carpentry challenges—from desert climate adaptations to cultural workforce integration—we deliver not just data, but an actionable roadmap for economic diversification. The outcomes will empower Saudi nationals to lead the city’s construction renaissance, ensuring that every beam and joint in Riyadh’s skyline reflects both tradition and innovation. This is more than a</w:t>
      </w:r>
      <w:r>
        <w:t xml:space="preserve"> </w:t>
      </w:r>
      <w:r>
        <w:rPr>
          <w:bCs/>
          <w:b/>
        </w:rPr>
        <w:t xml:space="preserve">Research Proposal</w:t>
      </w:r>
      <w:r>
        <w:t xml:space="preserve">; it is an investment in the human infrastructure of Saudi Arabia’s future.</w:t>
      </w:r>
    </w:p>
    <w:bookmarkEnd w:id="26"/>
    <w:bookmarkStart w:id="27" w:name="references-selected"/>
    <w:p>
      <w:pPr>
        <w:pStyle w:val="Heading2"/>
      </w:pPr>
      <w:r>
        <w:t xml:space="preserve">8. References (Selected)</w:t>
      </w:r>
    </w:p>
    <w:p>
      <w:pPr>
        <w:numPr>
          <w:ilvl w:val="0"/>
          <w:numId w:val="1005"/>
        </w:numPr>
        <w:pStyle w:val="Compact"/>
      </w:pPr>
      <w:r>
        <w:t xml:space="preserve">Saudi Vision 2030, Ministry of Investment (2016). "National Transformation Program."</w:t>
      </w:r>
    </w:p>
    <w:p>
      <w:pPr>
        <w:numPr>
          <w:ilvl w:val="0"/>
          <w:numId w:val="1005"/>
        </w:numPr>
        <w:pStyle w:val="Compact"/>
      </w:pPr>
      <w:r>
        <w:t xml:space="preserve">Riyadh Municipality Economic Report (Q4 2023). "Construction Sector Workforce Analysis."</w:t>
      </w:r>
    </w:p>
    <w:p>
      <w:pPr>
        <w:numPr>
          <w:ilvl w:val="0"/>
          <w:numId w:val="1005"/>
        </w:numPr>
        <w:pStyle w:val="Compact"/>
      </w:pPr>
      <w:r>
        <w:t xml:space="preserve">International Labour Organization. (2022). "Skills Development in MENA Construction Sectors."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Carpentry Profession in Riyadh, Saudi Arabia</dc:title>
  <dc:creator/>
  <dc:language>en</dc:language>
  <cp:keywords/>
  <dcterms:created xsi:type="dcterms:W3CDTF">2026-07-17T15:57:35Z</dcterms:created>
  <dcterms:modified xsi:type="dcterms:W3CDTF">2026-07-17T15:57:35Z</dcterms:modified>
</cp:coreProperties>
</file>

<file path=docProps/custom.xml><?xml version="1.0" encoding="utf-8"?>
<Properties xmlns="http://schemas.openxmlformats.org/officeDocument/2006/custom-properties" xmlns:vt="http://schemas.openxmlformats.org/officeDocument/2006/docPropsVTypes"/>
</file>