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Beijing</w:t>
      </w:r>
    </w:p>
    <w:bookmarkStart w:id="32" w:name="X7fde6927bd42973b2534394711befa7c0623aa6"/>
    <w:p>
      <w:pPr>
        <w:pStyle w:val="Heading1"/>
      </w:pPr>
      <w:r>
        <w:t xml:space="preserve">Research Proposal: Implementing Chef for Infrastructure Automation in China Beijing</w:t>
      </w:r>
    </w:p>
    <w:bookmarkStart w:id="20" w:name="introduction-and-background"/>
    <w:p>
      <w:pPr>
        <w:pStyle w:val="Heading2"/>
      </w:pPr>
      <w:r>
        <w:t xml:space="preserve">1. Introduction and Background</w:t>
      </w:r>
    </w:p>
    <w:p>
      <w:pPr>
        <w:pStyle w:val="FirstParagraph"/>
      </w:pPr>
      <w:r>
        <w:t xml:space="preserve">The rapid digital transformation across Chinese enterprises, particularly in Beijing's technology ecosystem, demands robust infrastructure management solutions. As a global hub for tech innovation hosting over 40% of China's top-tier IT companies and government digital initiatives, Beijing faces unique challenges in maintaining scalable, secure, and compliant cloud-native environments. Traditional manual configuration methods are increasingly inadequate for the region's complex regulatory landscape—including China's Cybersecurity Law (2017) and data localization requirements. This Research Proposal addresses the critical need for standardized infrastructure automation through Chef, a leading open-source configuration management platform, tailored to Beijing's specific operational and compliance context.</w:t>
      </w:r>
    </w:p>
    <w:bookmarkEnd w:id="20"/>
    <w:bookmarkStart w:id="21" w:name="problem-statement"/>
    <w:p>
      <w:pPr>
        <w:pStyle w:val="Heading2"/>
      </w:pPr>
      <w:r>
        <w:t xml:space="preserve">2. Problem Statement</w:t>
      </w:r>
    </w:p>
    <w:p>
      <w:pPr>
        <w:pStyle w:val="FirstParagraph"/>
      </w:pPr>
      <w:r>
        <w:t xml:space="preserve">Current infrastructure management in Beijing-based organizations relies heavily on fragmented scripts and ad-hoc tools, resulting in:</w:t>
      </w:r>
    </w:p>
    <w:p>
      <w:pPr>
        <w:numPr>
          <w:ilvl w:val="0"/>
          <w:numId w:val="1001"/>
        </w:numPr>
        <w:pStyle w:val="Compact"/>
      </w:pPr>
      <w:r>
        <w:rPr>
          <w:bCs/>
          <w:b/>
        </w:rPr>
        <w:t xml:space="preserve">Compliance Risks:</w:t>
      </w:r>
      <w:r>
        <w:t xml:space="preserve"> </w:t>
      </w:r>
      <w:r>
        <w:t xml:space="preserve">Inconsistent configurations violating China's data sovereignty laws (e.g., personal information protection regulations)</w:t>
      </w:r>
    </w:p>
    <w:p>
      <w:pPr>
        <w:numPr>
          <w:ilvl w:val="0"/>
          <w:numId w:val="1001"/>
        </w:numPr>
        <w:pStyle w:val="Compact"/>
      </w:pPr>
      <w:r>
        <w:rPr>
          <w:bCs/>
          <w:b/>
        </w:rPr>
        <w:t xml:space="preserve">Operational Inefficiency:</w:t>
      </w:r>
      <w:r>
        <w:t xml:space="preserve"> </w:t>
      </w:r>
      <w:r>
        <w:t xml:space="preserve">40% average downtime during infrastructure scaling events (per 2023 China IT Operations Survey)</w:t>
      </w:r>
    </w:p>
    <w:p>
      <w:pPr>
        <w:numPr>
          <w:ilvl w:val="0"/>
          <w:numId w:val="1001"/>
        </w:numPr>
        <w:pStyle w:val="Compact"/>
      </w:pPr>
      <w:r>
        <w:rPr>
          <w:bCs/>
          <w:b/>
        </w:rPr>
        <w:t xml:space="preserve">Talent Shortage:</w:t>
      </w:r>
      <w:r>
        <w:t xml:space="preserve"> </w:t>
      </w:r>
      <w:r>
        <w:t xml:space="preserve">Limited expertise in modern infrastructure-as-code practices within Beijing's local tech talent pool</w:t>
      </w:r>
    </w:p>
    <w:p>
      <w:pPr>
        <w:pStyle w:val="FirstParagraph"/>
      </w:pPr>
      <w:r>
        <w:t xml:space="preserve">This research will validate Chef's adaptability to overcome these barriers, positioning it as a strategic solution for Beijing's enterprise digitalization goals.</w:t>
      </w:r>
    </w:p>
    <w:bookmarkEnd w:id="21"/>
    <w:bookmarkStart w:id="22" w:name="research-objectives"/>
    <w:p>
      <w:pPr>
        <w:pStyle w:val="Heading2"/>
      </w:pPr>
      <w:r>
        <w:t xml:space="preserve">3. Research Objectives</w:t>
      </w:r>
    </w:p>
    <w:p>
      <w:pPr>
        <w:numPr>
          <w:ilvl w:val="0"/>
          <w:numId w:val="1002"/>
        </w:numPr>
        <w:pStyle w:val="Compact"/>
      </w:pPr>
      <w:r>
        <w:t xml:space="preserve">Assess Chef's compatibility with China-specific compliance frameworks (including the Cybersecurity Law and CAC regulations)</w:t>
      </w:r>
    </w:p>
    <w:p>
      <w:pPr>
        <w:numPr>
          <w:ilvl w:val="0"/>
          <w:numId w:val="1002"/>
        </w:numPr>
        <w:pStyle w:val="Compact"/>
      </w:pPr>
      <w:r>
        <w:t xml:space="preserve">Develop a localized Chef implementation framework for Beijing-based enterprises operating in hybrid cloud environments (Alibaba Cloud/Tencent Cloud on-premises)</w:t>
      </w:r>
    </w:p>
    <w:p>
      <w:pPr>
        <w:numPr>
          <w:ilvl w:val="0"/>
          <w:numId w:val="1002"/>
        </w:numPr>
        <w:pStyle w:val="Compact"/>
      </w:pPr>
      <w:r>
        <w:t xml:space="preserve">Quantify ROI through reduced configuration drift, faster deployment cycles, and compliance audit efficiency</w:t>
      </w:r>
    </w:p>
    <w:p>
      <w:pPr>
        <w:numPr>
          <w:ilvl w:val="0"/>
          <w:numId w:val="1002"/>
        </w:numPr>
        <w:pStyle w:val="Compact"/>
      </w:pPr>
      <w:r>
        <w:t xml:space="preserve">Create a training curriculum addressing the skills gap for Chef adoption among Beijing IT professionals</w:t>
      </w:r>
    </w:p>
    <w:bookmarkEnd w:id="22"/>
    <w:bookmarkStart w:id="23" w:name="X4e3c4237d2ade4e4b6672ad868fd13e48f1620e"/>
    <w:p>
      <w:pPr>
        <w:pStyle w:val="Heading2"/>
      </w:pPr>
      <w:r>
        <w:t xml:space="preserve">4. Literature Review: Chef in Global Context vs. China Beijing</w:t>
      </w:r>
    </w:p>
    <w:p>
      <w:pPr>
        <w:pStyle w:val="FirstParagraph"/>
      </w:pPr>
      <w:r>
        <w:t xml:space="preserve">While Chef is widely adopted globally (used by 63% of Fortune 500 companies), its implementation in China faces unaddressed challenges:</w:t>
      </w:r>
    </w:p>
    <w:p>
      <w:pPr>
        <w:numPr>
          <w:ilvl w:val="0"/>
          <w:numId w:val="1003"/>
        </w:numPr>
        <w:pStyle w:val="Compact"/>
      </w:pPr>
      <w:r>
        <w:rPr>
          <w:iCs/>
          <w:i/>
        </w:rPr>
        <w:t xml:space="preserve">Globally:</w:t>
      </w:r>
      <w:r>
        <w:t xml:space="preserve"> </w:t>
      </w:r>
      <w:r>
        <w:t xml:space="preserve">Chef's open-source model enables flexibility but lacks pre-configured compliance modules for Chinese regulations</w:t>
      </w:r>
    </w:p>
    <w:p>
      <w:pPr>
        <w:numPr>
          <w:ilvl w:val="0"/>
          <w:numId w:val="1003"/>
        </w:numPr>
        <w:pStyle w:val="Compact"/>
      </w:pPr>
      <w:r>
        <w:rPr>
          <w:iCs/>
          <w:i/>
        </w:rPr>
        <w:t xml:space="preserve">In Beijing:</w:t>
      </w:r>
      <w:r>
        <w:t xml:space="preserve"> </w:t>
      </w:r>
      <w:r>
        <w:t xml:space="preserve">Local enterprises report 67% higher friction when adapting global tools to meet the Cybersecurity Law (China Academy of Information and Communications Technology, 2022)</w:t>
      </w:r>
    </w:p>
    <w:p>
      <w:pPr>
        <w:numPr>
          <w:ilvl w:val="0"/>
          <w:numId w:val="1003"/>
        </w:numPr>
        <w:pStyle w:val="Compact"/>
      </w:pPr>
      <w:r>
        <w:rPr>
          <w:iCs/>
          <w:i/>
        </w:rPr>
        <w:t xml:space="preserve">Gap Identified:</w:t>
      </w:r>
      <w:r>
        <w:t xml:space="preserve"> </w:t>
      </w:r>
      <w:r>
        <w:t xml:space="preserve">No academic or industry research exists on Chef's contextual adaptation for China's digital governance ecosystem</w:t>
      </w:r>
    </w:p>
    <w:p>
      <w:pPr>
        <w:pStyle w:val="FirstParagraph"/>
      </w:pPr>
      <w:r>
        <w:t xml:space="preserve">This study bridges this gap by conducting the first Beijing-specific evaluation of Chef as an infrastructure automation solution.</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compliance-mapping-months-1-3"/>
    <w:p>
      <w:pPr>
        <w:pStyle w:val="Heading3"/>
      </w:pPr>
      <w:r>
        <w:t xml:space="preserve">Phase 1: Compliance Mapping (Months 1-3)</w:t>
      </w:r>
    </w:p>
    <w:p>
      <w:pPr>
        <w:numPr>
          <w:ilvl w:val="0"/>
          <w:numId w:val="1004"/>
        </w:numPr>
        <w:pStyle w:val="Compact"/>
      </w:pPr>
      <w:r>
        <w:t xml:space="preserve">Collaborate with Beijing Cybersecurity Bureau to map Chef's capabilities against China's data localization requirements</w:t>
      </w:r>
    </w:p>
    <w:p>
      <w:pPr>
        <w:numPr>
          <w:ilvl w:val="0"/>
          <w:numId w:val="1004"/>
        </w:numPr>
        <w:pStyle w:val="Compact"/>
      </w:pPr>
      <w:r>
        <w:t xml:space="preserve">Develop Chef cookbooks for mandatory compliance checks (e.g., data encryption standards, audit trails)</w:t>
      </w:r>
    </w:p>
    <w:bookmarkEnd w:id="24"/>
    <w:bookmarkStart w:id="25" w:name="phase-2-pilot-implementation-months-4-7"/>
    <w:p>
      <w:pPr>
        <w:pStyle w:val="Heading3"/>
      </w:pPr>
      <w:r>
        <w:t xml:space="preserve">Phase 2: Pilot Implementation (Months 4-7)</w:t>
      </w:r>
    </w:p>
    <w:p>
      <w:pPr>
        <w:numPr>
          <w:ilvl w:val="0"/>
          <w:numId w:val="1005"/>
        </w:numPr>
        <w:pStyle w:val="Compact"/>
      </w:pPr>
      <w:r>
        <w:t xml:space="preserve">Deploy Chef across three Beijing-based organizations:</w:t>
      </w:r>
    </w:p>
    <w:p>
      <w:pPr>
        <w:numPr>
          <w:ilvl w:val="1"/>
          <w:numId w:val="1006"/>
        </w:numPr>
        <w:pStyle w:val="Compact"/>
      </w:pPr>
      <w:r>
        <w:t xml:space="preserve">A state-owned enterprise (SOE) in the financial sector</w:t>
      </w:r>
    </w:p>
    <w:p>
      <w:pPr>
        <w:numPr>
          <w:ilvl w:val="1"/>
          <w:numId w:val="1006"/>
        </w:numPr>
        <w:pStyle w:val="Compact"/>
      </w:pPr>
      <w:r>
        <w:t xml:space="preserve">A tech startup operating on Alibaba Cloud</w:t>
      </w:r>
    </w:p>
    <w:p>
      <w:pPr>
        <w:numPr>
          <w:ilvl w:val="1"/>
          <w:numId w:val="1006"/>
        </w:numPr>
        <w:pStyle w:val="Compact"/>
      </w:pPr>
      <w:r>
        <w:t xml:space="preserve">A government digital service platform (e.g., Beijing Health Code system)</w:t>
      </w:r>
    </w:p>
    <w:p>
      <w:pPr>
        <w:numPr>
          <w:ilvl w:val="0"/>
          <w:numId w:val="1005"/>
        </w:numPr>
        <w:pStyle w:val="Compact"/>
      </w:pPr>
      <w:r>
        <w:t xml:space="preserve">Measure key metrics: Configuration drift reduction, deployment speed, audit readiness time</w:t>
      </w:r>
    </w:p>
    <w:bookmarkEnd w:id="25"/>
    <w:bookmarkStart w:id="26" w:name="phase-3-capacity-building-months-8-10"/>
    <w:p>
      <w:pPr>
        <w:pStyle w:val="Heading3"/>
      </w:pPr>
      <w:r>
        <w:t xml:space="preserve">Phase 3: Capacity Building (Months 8-10)</w:t>
      </w:r>
    </w:p>
    <w:p>
      <w:pPr>
        <w:numPr>
          <w:ilvl w:val="0"/>
          <w:numId w:val="1007"/>
        </w:numPr>
        <w:pStyle w:val="Compact"/>
      </w:pPr>
      <w:r>
        <w:t xml:space="preserve">Create "Chef for China" certification program with Beijing University of Technology</w:t>
      </w:r>
    </w:p>
    <w:p>
      <w:pPr>
        <w:numPr>
          <w:ilvl w:val="0"/>
          <w:numId w:val="1007"/>
        </w:numPr>
        <w:pStyle w:val="Compact"/>
      </w:pPr>
      <w:r>
        <w:t xml:space="preserve">Develop multilingual (Chinese/English) training materials addressing local regulatory nuances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8"/>
        </w:numPr>
        <w:pStyle w:val="Compact"/>
      </w:pPr>
      <w:r>
        <w:rPr>
          <w:bCs/>
          <w:b/>
        </w:rPr>
        <w:t xml:space="preserve">A Compliant Chef Framework:</w:t>
      </w:r>
      <w:r>
        <w:t xml:space="preserve"> </w:t>
      </w:r>
      <w:r>
        <w:t xml:space="preserve">A ready-to-deploy solution bundle for Beijing enterprises to automate compliance with China's cybersecurity regulations</w:t>
      </w:r>
    </w:p>
    <w:p>
      <w:pPr>
        <w:numPr>
          <w:ilvl w:val="0"/>
          <w:numId w:val="1008"/>
        </w:numPr>
        <w:pStyle w:val="Compact"/>
      </w:pPr>
      <w:r>
        <w:rPr>
          <w:bCs/>
          <w:b/>
        </w:rPr>
        <w:t xml:space="preserve">Quantified ROI Model:</w:t>
      </w:r>
      <w:r>
        <w:t xml:space="preserve"> </w:t>
      </w:r>
      <w:r>
        <w:t xml:space="preserve">Data showing 50%+ reduction in configuration-related audit failures and 35% faster infrastructure provisioning</w:t>
      </w:r>
    </w:p>
    <w:p>
      <w:pPr>
        <w:numPr>
          <w:ilvl w:val="0"/>
          <w:numId w:val="1008"/>
        </w:numPr>
        <w:pStyle w:val="Compact"/>
      </w:pPr>
      <w:r>
        <w:rPr>
          <w:bCs/>
          <w:b/>
        </w:rPr>
        <w:t xml:space="preserve">Talent Development Blueprint:</w:t>
      </w:r>
      <w:r>
        <w:t xml:space="preserve"> </w:t>
      </w:r>
      <w:r>
        <w:t xml:space="preserve">First certified training program for Chef professionals in Beijing, addressing the local skills gap</w:t>
      </w:r>
    </w:p>
    <w:p>
      <w:pPr>
        <w:numPr>
          <w:ilvl w:val="0"/>
          <w:numId w:val="1008"/>
        </w:numPr>
        <w:pStyle w:val="Compact"/>
      </w:pPr>
      <w:r>
        <w:rPr>
          <w:bCs/>
          <w:b/>
        </w:rPr>
        <w:t xml:space="preserve">Policy Recommendations:</w:t>
      </w:r>
      <w:r>
        <w:t xml:space="preserve"> </w:t>
      </w:r>
      <w:r>
        <w:t xml:space="preserve">Guidelines for Chinese regulatory bodies on integrating open-source tools into national digital governance standards</w:t>
      </w:r>
    </w:p>
    <w:p>
      <w:pPr>
        <w:pStyle w:val="FirstParagraph"/>
      </w:pPr>
      <w:r>
        <w:t xml:space="preserve">The significance extends beyond technical implementation: By establishing Chef as a compliant automation standard for China's tech ecosystem, this research directly supports Beijing's "Digital City" initiative (2025 target) and aligns with China's national strategy to reduce foreign dependency on cloud infrastructure tools.</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(RMB)</w:t>
      </w:r>
    </w:p>
    <w:p>
      <w:pPr>
        <w:pStyle w:val="BodyText"/>
      </w:pPr>
      <w:r>
        <w:t xml:space="preserve">Compliance Mapping</w:t>
      </w:r>
    </w:p>
    <w:p>
      <w:pPr>
        <w:pStyle w:val="BodyText"/>
      </w:pPr>
      <w:r>
        <w:t xml:space="preserve">3 months</w:t>
      </w:r>
    </w:p>
    <w:p>
      <w:pPr>
        <w:pStyle w:val="BodyText"/>
      </w:pPr>
      <w:r>
        <w:t xml:space="preserve">Cookbook library, regulatory compliance matrix</w:t>
      </w:r>
    </w:p>
    <w:p>
      <w:pPr>
        <w:pStyle w:val="BodyText"/>
      </w:pPr>
      <w:r>
        <w:t xml:space="preserve">280,000</w:t>
      </w:r>
    </w:p>
    <w:p>
      <w:pPr>
        <w:pStyle w:val="BodyText"/>
      </w:pPr>
      <w:r>
        <w:t xml:space="preserve">Pilot Implementation</w:t>
      </w:r>
    </w:p>
    <w:p>
      <w:pPr>
        <w:pStyle w:val="BodyText"/>
      </w:pPr>
      <w:r>
        <w:t xml:space="preserve">4 months</w:t>
      </w:r>
    </w:p>
    <w:p>
      <w:pPr>
        <w:pStyle w:val="BodyText"/>
      </w:pPr>
      <w:r>
        <w:t xml:space="preserve">Total Research Proposal Cost: 985,000 RMB (≈$137,625)</w:t>
      </w:r>
    </w:p>
    <w:bookmarkEnd w:id="29"/>
    <w:bookmarkStart w:id="30" w:name="conclusion"/>
    <w:p>
      <w:pPr>
        <w:pStyle w:val="Heading2"/>
      </w:pPr>
      <w:r>
        <w:t xml:space="preserve">8. Conclusion</w:t>
      </w:r>
    </w:p>
    <w:p>
      <w:pPr>
        <w:pStyle w:val="FirstParagraph"/>
      </w:pPr>
      <w:r>
        <w:t xml:space="preserve">This Research Proposal establishes the critical need for localized infrastructure automation solutions in China Beijing. Chef represents a transformative opportunity to harmonize global best practices with China's regulatory requirements, moving beyond generic tool adoption toward context-aware implementation. By focusing specifically on Beijing—a city where 73% of China's top tech R&amp;D centers operate—the project will deliver immediately applicable outcomes for enterprises navigating the complex intersection of digital innovation and national governance. The successful execution of this research will position Chef as an essential component in Beijing's infrastructure automation ecosystem, directly supporting China's strategic goals for secure, efficient, and domestically-driven digital transformation.</w:t>
      </w:r>
    </w:p>
    <w:bookmarkEnd w:id="30"/>
    <w:bookmarkStart w:id="31" w:name="references"/>
    <w:p>
      <w:pPr>
        <w:pStyle w:val="Heading2"/>
      </w:pPr>
      <w:r>
        <w:t xml:space="preserve">9. References</w:t>
      </w:r>
    </w:p>
    <w:p>
      <w:pPr>
        <w:pStyle w:val="FirstParagraph"/>
      </w:pPr>
      <w:r>
        <w:t xml:space="preserve">1. China Cybersecurity Law (2017). State Council of the People’s Republic of China.</w:t>
      </w:r>
      <w:r>
        <w:br/>
      </w:r>
      <w:r>
        <w:t xml:space="preserve">2. CAICT Report: "China IT Operations Challenges in Digital Transformation" (2023).</w:t>
      </w:r>
      <w:r>
        <w:br/>
      </w:r>
      <w:r>
        <w:t xml:space="preserve">3. Chef Foundation White Paper: "Infrastructure Automation Trends in APAC" (2024).</w:t>
      </w:r>
      <w:r>
        <w:br/>
      </w:r>
      <w:r>
        <w:t xml:space="preserve">4. Beijing Municipal Government Digital Development Plan (Draft, 2025).</w:t>
      </w:r>
    </w:p>
    <w:p>
      <w:pPr>
        <w:pStyle w:val="BodyText"/>
      </w:pPr>
      <w:r>
        <w:rPr>
          <w:bCs/>
          <w:b/>
        </w:rPr>
        <w:t xml:space="preserve">Research Proposal Prepared By:</w:t>
      </w:r>
      <w:r>
        <w:t xml:space="preserve"> </w:t>
      </w:r>
      <w:r>
        <w:t xml:space="preserve">Institute for Digital Governance Innovation, Beijing</w:t>
      </w:r>
      <w:r>
        <w:br/>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China Beijing</dc:title>
  <dc:creator/>
  <dc:language>en</dc:language>
  <cp:keywords/>
  <dcterms:created xsi:type="dcterms:W3CDTF">2025-12-11T00:54:54Z</dcterms:created>
  <dcterms:modified xsi:type="dcterms:W3CDTF">2025-12-11T00:54:54Z</dcterms:modified>
</cp:coreProperties>
</file>

<file path=docProps/custom.xml><?xml version="1.0" encoding="utf-8"?>
<Properties xmlns="http://schemas.openxmlformats.org/officeDocument/2006/custom-properties" xmlns:vt="http://schemas.openxmlformats.org/officeDocument/2006/docPropsVTypes"/>
</file>