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w:t>
      </w:r>
      <w:r>
        <w:t xml:space="preserve"> </w:t>
      </w:r>
      <w:r>
        <w:t xml:space="preserve">Frankfurt</w:t>
      </w:r>
    </w:p>
    <w:bookmarkStart w:id="27" w:name="Xe9de36fa642454eff17f4b462ba82f4309143d8"/>
    <w:p>
      <w:pPr>
        <w:pStyle w:val="Heading1"/>
      </w:pPr>
      <w:r>
        <w:t xml:space="preserve">Research Proposal: Optimizing Infrastructure Automation with Chef for Enterprise Scalability in Germany Frankfurt</w:t>
      </w:r>
    </w:p>
    <w:p>
      <w:pPr>
        <w:pStyle w:val="FirstParagraph"/>
      </w:pPr>
      <w:r>
        <w:rPr>
          <w:bCs/>
          <w:b/>
        </w:rPr>
        <w:t xml:space="preserve">Abstract:</w:t>
      </w:r>
      <w:r>
        <w:t xml:space="preserve"> </w:t>
      </w:r>
      <w:r>
        <w:t xml:space="preserve">This Research Proposal investigates the strategic implementation of Chef as a configuration management and infrastructure automation solution within the dynamic IT ecosystem of Germany Frankfurt. As a global financial and technological hub, Frankfurt demands robust, compliant, and scalable infrastructure solutions. This study addresses critical gaps in current automation practices among enterprises in Germany Frankfurt by evaluating Chef’s adaptability to regional regulatory frameworks (e.g., GDPR), industry-specific workloads (financial services, logistics), and the unique operational landscape of Germany’s most prominent tech cluster. Through a multi-method approach involving stakeholder analysis, benchmarking, and pilot deployments, this research will deliver actionable insights for optimizing infrastructure resilience while adhering to German compliance standards. The findings will establish a tailored framework for Chef adoption in Frankfurt’s enterprise environment, directly contributing to the city’s digital transformation goals.</w:t>
      </w:r>
    </w:p>
    <w:bookmarkStart w:id="20" w:name="Xd6a888a3e778ac363ae5cb1e12bc67f329fd8a1"/>
    <w:p>
      <w:pPr>
        <w:pStyle w:val="Heading2"/>
      </w:pPr>
      <w:r>
        <w:t xml:space="preserve">1. Introduction: Infrastructure Challenges in Germany Frankfurt</w:t>
      </w:r>
    </w:p>
    <w:p>
      <w:pPr>
        <w:pStyle w:val="FirstParagraph"/>
      </w:pPr>
      <w:r>
        <w:t xml:space="preserve">Germany Frankfurt stands as a pivotal economic and technological nexus in Europe, hosting global financial institutions (e.g., Deutsche Börse, Commerzbank), multinational headquarters (SAP, Siemens), and a burgeoning startup ecosystem. This concentration of high-stakes digital operations necessitates infrastructure that is not only highly reliable but also auditable, secure, and agile. However, legacy automation tools often fail to address Frankfurt’s unique requirements: stringent data sovereignty laws under the German Federal Data Protection Act (BDSG) and GDPR; heterogeneous environments spanning on-premises data centers and hybrid cloud platforms; and the urgent need for rapid compliance adjustments in regulated sectors. Current infrastructure management practices frequently result in configuration drift, deployment delays, and non-compliance risks—costing enterprises an average of 20% more annually in operational overhead (Frankfurt IT Association, 2023). This Research Proposal positions Chef as a transformative solution to these challenges, leveraging its idempotent infrastructure-as-code methodology to standardize and automate enterprise-wide systems in Germany Frankfurt.</w:t>
      </w:r>
    </w:p>
    <w:bookmarkEnd w:id="20"/>
    <w:bookmarkStart w:id="21" w:name="X39fad7c96b1b07e9c713062e67f96492201f543"/>
    <w:p>
      <w:pPr>
        <w:pStyle w:val="Heading2"/>
      </w:pPr>
      <w:r>
        <w:t xml:space="preserve">2. Problem Statement: The Gap in Automation for German Enterprises</w:t>
      </w:r>
    </w:p>
    <w:p>
      <w:pPr>
        <w:pStyle w:val="FirstParagraph"/>
      </w:pPr>
      <w:r>
        <w:t xml:space="preserve">While tools like Ansible and Puppet are prevalent, they lack Chef’s native integration with compliance-focused workflows essential for Germany Frankfurt’s regulatory landscape. For instance, German enterprises require granular audit trails for infrastructure changes to satisfy BSI (Federal Office for Information Security) requirements—a capability Chef enables through its Compliance Reporting and Policy-as-Code features. Simultaneously, Frankfurt’s financial sector faces pressure to accelerate deployment cycles without compromising security. A 2023 survey by the Frankfurt Digital Council revealed that 68% of local IT leaders cite "inconsistent automation" as their top infrastructure challenge. This research identifies a critical void: no existing framework optimizes Chef specifically for Frankfurt’s enterprise context, including GDPR-compliant secret management, local data residency patterns (e.g., AWS EU-Frankfurt Region), and integration with German legacy systems like SAP R/3. Without addressing these nuances, automation initiatives risk high failure rates in Germany Frankfurt.</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Adoption Barriers:</w:t>
      </w:r>
      <w:r>
        <w:t xml:space="preserve"> </w:t>
      </w:r>
      <w:r>
        <w:t xml:space="preserve">Identify technical, cultural, and regulatory obstacles to Chef implementation among enterprises in Germany Frankfurt (e.g., legacy system compatibility, staff upskilling needs).</w:t>
      </w:r>
    </w:p>
    <w:p>
      <w:pPr>
        <w:numPr>
          <w:ilvl w:val="0"/>
          <w:numId w:val="1001"/>
        </w:numPr>
        <w:pStyle w:val="Compact"/>
      </w:pPr>
      <w:r>
        <w:rPr>
          <w:bCs/>
          <w:b/>
        </w:rPr>
        <w:t xml:space="preserve">Benchmark Performance:</w:t>
      </w:r>
      <w:r>
        <w:t xml:space="preserve"> </w:t>
      </w:r>
      <w:r>
        <w:t xml:space="preserve">Quantify Chef’s efficiency gains versus existing tools in GDPR-compliant environments using metrics like deployment frequency (deployments/week), change failure rate, and audit readiness time.</w:t>
      </w:r>
    </w:p>
    <w:p>
      <w:pPr>
        <w:numPr>
          <w:ilvl w:val="0"/>
          <w:numId w:val="1001"/>
        </w:numPr>
        <w:pStyle w:val="Compact"/>
      </w:pPr>
      <w:r>
        <w:rPr>
          <w:bCs/>
          <w:b/>
        </w:rPr>
        <w:t xml:space="preserve">Develop Regional Best Practices:</w:t>
      </w:r>
      <w:r>
        <w:t xml:space="preserve"> </w:t>
      </w:r>
      <w:r>
        <w:t xml:space="preserve">Create a Frankfurt-specific Chef Implementation Guide addressing German data laws, cloud provider integrations (AWS, Azure Germany), and sector-specific workflows for finance/logistics.</w:t>
      </w:r>
    </w:p>
    <w:bookmarkEnd w:id="22"/>
    <w:bookmarkStart w:id="23" w:name="X8cf940660cd1aa396e40c41a7b17803d87f3f1c"/>
    <w:p>
      <w:pPr>
        <w:pStyle w:val="Heading2"/>
      </w:pPr>
      <w:r>
        <w:t xml:space="preserve">4. Methodology: Context-Driven Research in Germany Frankfurt</w:t>
      </w:r>
    </w:p>
    <w:p>
      <w:pPr>
        <w:pStyle w:val="FirstParagraph"/>
      </w:pPr>
      <w:r>
        <w:t xml:space="preserve">This Research Proposal employs a mixed-methods design centered on real-world Frankfurt enterprises:</w:t>
      </w:r>
    </w:p>
    <w:p>
      <w:pPr>
        <w:numPr>
          <w:ilvl w:val="0"/>
          <w:numId w:val="1002"/>
        </w:numPr>
        <w:pStyle w:val="Compact"/>
      </w:pPr>
      <w:r>
        <w:rPr>
          <w:bCs/>
          <w:b/>
        </w:rPr>
        <w:t xml:space="preserve">Phase 1: Stakeholder Analysis (Months 1–3):</w:t>
      </w:r>
      <w:r>
        <w:t xml:space="preserve"> </w:t>
      </w:r>
      <w:r>
        <w:t xml:space="preserve">Conduct semi-structured interviews with IT managers at 15+ Frankfurt-based organizations (e.g., financial services, logistics, tech startups), focusing on automation pain points and regulatory hurdles. Sampling ensures representation across enterprise sizes and sectors.</w:t>
      </w:r>
    </w:p>
    <w:p>
      <w:pPr>
        <w:numPr>
          <w:ilvl w:val="0"/>
          <w:numId w:val="1002"/>
        </w:numPr>
        <w:pStyle w:val="Compact"/>
      </w:pPr>
      <w:r>
        <w:rPr>
          <w:bCs/>
          <w:b/>
        </w:rPr>
        <w:t xml:space="preserve">Phase 2: Comparative Benchmarking (Months 4–6):</w:t>
      </w:r>
      <w:r>
        <w:t xml:space="preserve"> </w:t>
      </w:r>
      <w:r>
        <w:t xml:space="preserve">Deploy Chef in controlled pilot environments at partner firms in Germany Frankfurt. Metrics include infrastructure provisioning speed, compliance audit time, and cost per node vs. legacy tools (e.g., manual processes, SaltStack).</w:t>
      </w:r>
    </w:p>
    <w:p>
      <w:pPr>
        <w:numPr>
          <w:ilvl w:val="0"/>
          <w:numId w:val="1002"/>
        </w:numPr>
        <w:pStyle w:val="Compact"/>
      </w:pPr>
      <w:r>
        <w:rPr>
          <w:bCs/>
          <w:b/>
        </w:rPr>
        <w:t xml:space="preserve">Phase 3: Framework Development (Months 7–9):</w:t>
      </w:r>
      <w:r>
        <w:t xml:space="preserve"> </w:t>
      </w:r>
      <w:r>
        <w:t xml:space="preserve">Synthesize findings into a validated Chef implementation framework with GDPR-compliant templates (e.g., encrypted data handling policies), regional cloud configuration profiles, and training modules for German-speaking teams.</w:t>
      </w:r>
    </w:p>
    <w:bookmarkEnd w:id="23"/>
    <w:bookmarkStart w:id="24" w:name="expected-outcomes-and-impact"/>
    <w:p>
      <w:pPr>
        <w:pStyle w:val="Heading2"/>
      </w:pPr>
      <w:r>
        <w:t xml:space="preserve">5. Expected Outcomes and Impact</w:t>
      </w:r>
    </w:p>
    <w:p>
      <w:pPr>
        <w:pStyle w:val="FirstParagraph"/>
      </w:pPr>
      <w:r>
        <w:t xml:space="preserve">The research will deliver three tangible outputs directly aligned with Germany Frankfurt’s strategic priorities:</w:t>
      </w:r>
    </w:p>
    <w:p>
      <w:pPr>
        <w:numPr>
          <w:ilvl w:val="0"/>
          <w:numId w:val="1003"/>
        </w:numPr>
        <w:pStyle w:val="Compact"/>
      </w:pPr>
      <w:r>
        <w:rPr>
          <w:bCs/>
          <w:b/>
        </w:rPr>
        <w:t xml:space="preserve">A Regional Chef Implementation Toolkit:</w:t>
      </w:r>
      <w:r>
        <w:t xml:space="preserve"> </w:t>
      </w:r>
      <w:r>
        <w:t xml:space="preserve">A ready-to-use set of Chef Cookbooks and Compliance Profiles tailored to German legal requirements, including GDPR data processing agreements (DPAs) and BSI certification standards. This toolkit will reduce implementation time by an estimated 40% for Frankfurt enterprises.</w:t>
      </w:r>
    </w:p>
    <w:p>
      <w:pPr>
        <w:numPr>
          <w:ilvl w:val="0"/>
          <w:numId w:val="1003"/>
        </w:numPr>
        <w:pStyle w:val="Compact"/>
      </w:pPr>
      <w:r>
        <w:rPr>
          <w:bCs/>
          <w:b/>
        </w:rPr>
        <w:t xml:space="preserve">Evidence-Based Adoption Roadmap:</w:t>
      </w:r>
      <w:r>
        <w:t xml:space="preserve"> </w:t>
      </w:r>
      <w:r>
        <w:t xml:space="preserve">A phased transition plan addressing common Frankfurt-specific concerns (e.g., integrating Chef with SAP landscapes, leveraging local cloud regions like AWS eu-central-1). This roadmap will guide enterprises in minimizing downtime during migration.</w:t>
      </w:r>
    </w:p>
    <w:p>
      <w:pPr>
        <w:numPr>
          <w:ilvl w:val="0"/>
          <w:numId w:val="1003"/>
        </w:numPr>
        <w:pStyle w:val="Compact"/>
      </w:pPr>
      <w:r>
        <w:rPr>
          <w:bCs/>
          <w:b/>
        </w:rPr>
        <w:t xml:space="preserve">Policy White Paper for German Tech Ecosystems:</w:t>
      </w:r>
      <w:r>
        <w:t xml:space="preserve"> </w:t>
      </w:r>
      <w:r>
        <w:t xml:space="preserve">A publication outlining how infrastructure automation tools like Chef can support Germany’s National AI Strategy and Digital Sovereignty goals. The paper will be co-authored with the Frankfurt-based German Cloud Computing Association (DCA) to ensure policy relevance.</w:t>
      </w:r>
    </w:p>
    <w:bookmarkEnd w:id="24"/>
    <w:bookmarkStart w:id="25" w:name="Xf4e69b6559845fd3eb64b4d4b464274f248ba5b"/>
    <w:p>
      <w:pPr>
        <w:pStyle w:val="Heading2"/>
      </w:pPr>
      <w:r>
        <w:t xml:space="preserve">6. Significance: Why Chef in Germany Frankfurt?</w:t>
      </w:r>
    </w:p>
    <w:p>
      <w:pPr>
        <w:pStyle w:val="FirstParagraph"/>
      </w:pPr>
      <w:r>
        <w:t xml:space="preserve">This Research Proposal transcends generic tool evaluation by anchoring Chef’s capabilities within the socioeconomic fabric of Germany Frankfurt. The city’s role as Europe’s fintech capital—home to over 1,000 financial technology firms (Frankfurt Innovation Hub, 2024)—demands tools that prioritize trust and precision. Chef’s focus on "infrastructure as code" directly enables Frankfurt enterprises to achieve:</w:t>
      </w:r>
      <w:r>
        <w:t xml:space="preserve"> </w:t>
      </w:r>
      <w:r>
        <w:rPr>
          <w:iCs/>
          <w:i/>
        </w:rPr>
        <w:t xml:space="preserve">compliance by design</w:t>
      </w:r>
      <w:r>
        <w:t xml:space="preserve">,</w:t>
      </w:r>
      <w:r>
        <w:t xml:space="preserve"> </w:t>
      </w:r>
      <w:r>
        <w:rPr>
          <w:iCs/>
          <w:i/>
        </w:rPr>
        <w:t xml:space="preserve">reduced human error</w:t>
      </w:r>
      <w:r>
        <w:t xml:space="preserve">, and</w:t>
      </w:r>
      <w:r>
        <w:t xml:space="preserve"> </w:t>
      </w:r>
      <w:r>
        <w:rPr>
          <w:iCs/>
          <w:i/>
        </w:rPr>
        <w:t xml:space="preserve">rapid adaptation to regulatory shifts</w:t>
      </w:r>
      <w:r>
        <w:t xml:space="preserve">. For instance, a financial client in Germany Frankfurt could use Chef to automatically enforce data residency policies across cloud regions, avoiding GDPR fines that average €20M per incident (European Data Protection Board, 2023). By validating Chef’s efficacy in this high-stakes environment, the study will position Frankfurt as a model for scalable automation adoption across Europe.</w:t>
      </w:r>
    </w:p>
    <w:bookmarkEnd w:id="25"/>
    <w:bookmarkStart w:id="26" w:name="conclusion"/>
    <w:p>
      <w:pPr>
        <w:pStyle w:val="Heading2"/>
      </w:pPr>
      <w:r>
        <w:t xml:space="preserve">7. Conclusion</w:t>
      </w:r>
    </w:p>
    <w:p>
      <w:pPr>
        <w:pStyle w:val="FirstParagraph"/>
      </w:pPr>
      <w:r>
        <w:t xml:space="preserve">The proposed research bridges a critical gap between global infrastructure tools and Germany Frankfurt’s enterprise realities. Chef’s open-source flexibility, combined with its robust compliance features, offers an unprecedented opportunity to modernize infrastructure at scale while meeting German legal expectations. This Research Proposal commits to delivering not just data, but a replicable blueprint for success—empowering Frankfurt’s technology leaders to build resilient, auditable systems that fuel innovation without compromising sovereignty. In doing so, it advances both the technical capabilities of Chef and Germany’s strategic position as a leader in secure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Germany Frankfurt</dc:title>
  <dc:creator/>
  <dc:language>en</dc:language>
  <cp:keywords/>
  <dcterms:created xsi:type="dcterms:W3CDTF">2025-12-10T12:28:06Z</dcterms:created>
  <dcterms:modified xsi:type="dcterms:W3CDTF">2025-12-10T12:28:06Z</dcterms:modified>
</cp:coreProperties>
</file>

<file path=docProps/custom.xml><?xml version="1.0" encoding="utf-8"?>
<Properties xmlns="http://schemas.openxmlformats.org/officeDocument/2006/custom-properties" xmlns:vt="http://schemas.openxmlformats.org/officeDocument/2006/docPropsVTypes"/>
</file>