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Germany</w:t>
      </w:r>
      <w:r>
        <w:t xml:space="preserve"> </w:t>
      </w:r>
      <w:r>
        <w:t xml:space="preserve">Munich</w:t>
      </w:r>
    </w:p>
    <w:bookmarkStart w:id="31" w:name="Xfe09bffba0da128abf55b6ae358e14adf50d03f"/>
    <w:p>
      <w:pPr>
        <w:pStyle w:val="Heading1"/>
      </w:pPr>
      <w:r>
        <w:t xml:space="preserve">Research Proposal: Implementing Chef for Enterprise Infrastructure Automation in Germany Munich</w:t>
      </w:r>
    </w:p>
    <w:bookmarkStart w:id="20" w:name="introduction"/>
    <w:p>
      <w:pPr>
        <w:pStyle w:val="Heading2"/>
      </w:pPr>
      <w:r>
        <w:t xml:space="preserve">1. Introduction</w:t>
      </w:r>
    </w:p>
    <w:p>
      <w:pPr>
        <w:pStyle w:val="FirstParagraph"/>
      </w:pPr>
      <w:r>
        <w:t xml:space="preserve">The digital transformation landscape in Germany Munich demands robust, scalable infrastructure management solutions to support the region's growing tech ecosystem. As a leading hub for automotive innovation, biotechnology, and IT services—hosting global headquarters of BMW, Siemens Healthineers, and numerous startups—the Munich metropolitan area faces unique challenges in maintaining compliant, efficient infrastructure across hybrid cloud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 the industry-leading configuration management platform, as a solution to automate infrastructure provisioning while adhering to German data sovereignty regulations and operational standards. The study will establish best practices for deploying</w:t>
      </w:r>
      <w:r>
        <w:t xml:space="preserve"> </w:t>
      </w:r>
      <w:r>
        <w:rPr>
          <w:bCs/>
          <w:b/>
        </w:rPr>
        <w:t xml:space="preserve">Chef</w:t>
      </w:r>
      <w:r>
        <w:t xml:space="preserve"> </w:t>
      </w:r>
      <w:r>
        <w:t xml:space="preserve">within Munich-based enterprises, directly addressing gaps in current infrastructure management approaches.</w:t>
      </w:r>
    </w:p>
    <w:bookmarkEnd w:id="20"/>
    <w:bookmarkStart w:id="21" w:name="problem-statement"/>
    <w:p>
      <w:pPr>
        <w:pStyle w:val="Heading2"/>
      </w:pPr>
      <w:r>
        <w:t xml:space="preserve">2. Problem Statement</w:t>
      </w:r>
    </w:p>
    <w:p>
      <w:pPr>
        <w:pStyle w:val="FirstParagraph"/>
      </w:pPr>
      <w:r>
        <w:t xml:space="preserve">Munich's enterprise landscape currently relies on fragmented, manual infrastructure processes that conflict with Germany’s stringent data protection laws (GDPR) and industry-specific compliance frameworks like IT-Grundschutz. Legacy systems—often managed through ad-hoc scripts or non-scalable tools—result in: (1) 40% longer deployment cycles for cloud migrations (per 2023 Bitkom survey), (2) elevated compliance risks during audits, and (3) inefficient resource utilization across on-premises and public cloud environments. Critical gaps persist in the adoption of modern configuration management tools that align with German legal requirements. While</w:t>
      </w:r>
      <w:r>
        <w:t xml:space="preserve"> </w:t>
      </w:r>
      <w:r>
        <w:rPr>
          <w:bCs/>
          <w:b/>
        </w:rPr>
        <w:t xml:space="preserve">Chef</w:t>
      </w:r>
      <w:r>
        <w:t xml:space="preserve"> </w:t>
      </w:r>
      <w:r>
        <w:t xml:space="preserve">offers automation capabilities proven globally, its contextual adaptation for</w:t>
      </w:r>
      <w:r>
        <w:t xml:space="preserve"> </w:t>
      </w:r>
      <w:r>
        <w:rPr>
          <w:bCs/>
          <w:b/>
        </w:rPr>
        <w:t xml:space="preserve">Germany Munich</w:t>
      </w:r>
      <w:r>
        <w:t xml:space="preserve">'s regulatory environment remains unexamined, creating a strategic void for technology leaders in this ecosystem.</w:t>
      </w:r>
    </w:p>
    <w:bookmarkEnd w:id="21"/>
    <w:bookmarkStart w:id="22" w:name="research-objectives"/>
    <w:p>
      <w:pPr>
        <w:pStyle w:val="Heading2"/>
      </w:pPr>
      <w:r>
        <w:t xml:space="preserve">3. Research Objectives</w:t>
      </w:r>
    </w:p>
    <w:p>
      <w:pPr>
        <w:pStyle w:val="FirstParagraph"/>
      </w:pPr>
      <w:r>
        <w:t xml:space="preserve">This study aims to deliver actionable insights through four core objectives:</w:t>
      </w:r>
    </w:p>
    <w:p>
      <w:pPr>
        <w:numPr>
          <w:ilvl w:val="0"/>
          <w:numId w:val="1001"/>
        </w:numPr>
        <w:pStyle w:val="Compact"/>
      </w:pPr>
      <w:r>
        <w:rPr>
          <w:bCs/>
          <w:b/>
        </w:rPr>
        <w:t xml:space="preserve">Contextual Integration Analysis</w:t>
      </w:r>
      <w:r>
        <w:t xml:space="preserve">: Evaluate how</w:t>
      </w:r>
      <w:r>
        <w:t xml:space="preserve"> </w:t>
      </w:r>
      <w:r>
        <w:rPr>
          <w:bCs/>
          <w:b/>
        </w:rPr>
        <w:t xml:space="preserve">Chef</w:t>
      </w:r>
      <w:r>
        <w:t xml:space="preserve">'s architecture accommodates German-specific compliance requirements (e.g., data localization via AWS Germany regions, BSI security standards).</w:t>
      </w:r>
    </w:p>
    <w:p>
      <w:pPr>
        <w:numPr>
          <w:ilvl w:val="0"/>
          <w:numId w:val="1001"/>
        </w:numPr>
        <w:pStyle w:val="Compact"/>
      </w:pPr>
      <w:r>
        <w:rPr>
          <w:bCs/>
          <w:b/>
        </w:rPr>
        <w:t xml:space="preserve">Operational Impact Assessment</w:t>
      </w:r>
      <w:r>
        <w:t xml:space="preserve">: Measure time-to-deployment reduction, error rates, and cost savings when implementing</w:t>
      </w:r>
      <w:r>
        <w:t xml:space="preserve"> </w:t>
      </w:r>
      <w:r>
        <w:rPr>
          <w:bCs/>
          <w:b/>
        </w:rPr>
        <w:t xml:space="preserve">Chef</w:t>
      </w:r>
      <w:r>
        <w:t xml:space="preserve"> </w:t>
      </w:r>
      <w:r>
        <w:t xml:space="preserve">versus legacy methods in Munich enterprises.</w:t>
      </w:r>
    </w:p>
    <w:p>
      <w:pPr>
        <w:numPr>
          <w:ilvl w:val="0"/>
          <w:numId w:val="1001"/>
        </w:numPr>
        <w:pStyle w:val="Compact"/>
      </w:pPr>
      <w:r>
        <w:rPr>
          <w:bCs/>
          <w:b/>
        </w:rPr>
        <w:t xml:space="preserve">Team Adoption Framework</w:t>
      </w:r>
      <w:r>
        <w:t xml:space="preserve">: Develop a training and change-management protocol for German IT teams familiar with traditional infrastructure tools.</w:t>
      </w:r>
    </w:p>
    <w:p>
      <w:pPr>
        <w:numPr>
          <w:ilvl w:val="0"/>
          <w:numId w:val="1001"/>
        </w:numPr>
        <w:pStyle w:val="Compact"/>
      </w:pPr>
      <w:r>
        <w:rPr>
          <w:bCs/>
          <w:b/>
        </w:rPr>
        <w:t xml:space="preserve">Munich-Specific Optimization</w:t>
      </w:r>
      <w:r>
        <w:t xml:space="preserve">: Create a localized</w:t>
      </w:r>
      <w:r>
        <w:t xml:space="preserve"> </w:t>
      </w:r>
      <w:r>
        <w:rPr>
          <w:iCs/>
          <w:i/>
        </w:rPr>
        <w:t xml:space="preserve">Chef Policy-As-Code</w:t>
      </w:r>
      <w:r>
        <w:t xml:space="preserve"> </w:t>
      </w:r>
      <w:r>
        <w:t xml:space="preserve">template compliant with German industry standards (e.g., automotive supply chain requirements under ISO/TS 16949).</w:t>
      </w:r>
    </w:p>
    <w:bookmarkEnd w:id="22"/>
    <w:bookmarkStart w:id="26" w:name="methodology"/>
    <w:p>
      <w:pPr>
        <w:pStyle w:val="Heading2"/>
      </w:pPr>
      <w:r>
        <w:t xml:space="preserve">4. Methodology</w:t>
      </w:r>
    </w:p>
    <w:p>
      <w:pPr>
        <w:pStyle w:val="FirstParagraph"/>
      </w:pPr>
      <w:r>
        <w:t xml:space="preserve">The research employs a mixed-methods approach, combining quantitative analysis with qualitative stakeholder engagement in</w:t>
      </w:r>
      <w:r>
        <w:t xml:space="preserve"> </w:t>
      </w:r>
      <w:r>
        <w:rPr>
          <w:bCs/>
          <w:b/>
        </w:rPr>
        <w:t xml:space="preserve">Germany Munich</w:t>
      </w:r>
      <w:r>
        <w:t xml:space="preserve">:</w:t>
      </w:r>
    </w:p>
    <w:bookmarkStart w:id="23" w:name="phase-1-baseline-assessment-months-1-3"/>
    <w:p>
      <w:pPr>
        <w:pStyle w:val="Heading3"/>
      </w:pPr>
      <w:r>
        <w:t xml:space="preserve">Phase 1: Baseline Assessment (Months 1-3)</w:t>
      </w:r>
    </w:p>
    <w:p>
      <w:pPr>
        <w:pStyle w:val="FirstParagraph"/>
      </w:pPr>
      <w:r>
        <w:t xml:space="preserve">Conduct surveys and interviews with 25+ IT decision-makers at Munich-based enterprises (including Siemens, Deutsche Bahn, and Scale-Up startups) to map current infrastructure pain points. Focus on GDPR compliance challenges and tooling limitations.</w:t>
      </w:r>
    </w:p>
    <w:bookmarkEnd w:id="23"/>
    <w:bookmarkStart w:id="24" w:name="Xf9613425a0b855bf01a76014c3dd4e334b67bf1"/>
    <w:p>
      <w:pPr>
        <w:pStyle w:val="Heading3"/>
      </w:pPr>
      <w:r>
        <w:t xml:space="preserve">Phase 2: Chef Implementation Pilot (Months 4-7)</w:t>
      </w:r>
    </w:p>
    <w:p>
      <w:pPr>
        <w:pStyle w:val="FirstParagraph"/>
      </w:pPr>
      <w:r>
        <w:t xml:space="preserve">Deploy</w:t>
      </w:r>
      <w:r>
        <w:t xml:space="preserve"> </w:t>
      </w:r>
      <w:r>
        <w:rPr>
          <w:bCs/>
          <w:b/>
        </w:rPr>
        <w:t xml:space="preserve">Chef</w:t>
      </w:r>
      <w:r>
        <w:t xml:space="preserve"> </w:t>
      </w:r>
      <w:r>
        <w:t xml:space="preserve">in three controlled environments:</w:t>
      </w:r>
    </w:p>
    <w:p>
      <w:pPr>
        <w:numPr>
          <w:ilvl w:val="0"/>
          <w:numId w:val="1002"/>
        </w:numPr>
        <w:pStyle w:val="Compact"/>
      </w:pPr>
      <w:r>
        <w:t xml:space="preserve">An automotive supplier's hybrid cloud (migrating to AWS Germany)</w:t>
      </w:r>
    </w:p>
    <w:p>
      <w:pPr>
        <w:numPr>
          <w:ilvl w:val="0"/>
          <w:numId w:val="1002"/>
        </w:numPr>
        <w:pStyle w:val="Compact"/>
      </w:pPr>
      <w:r>
        <w:t xml:space="preserve">A Munich biotech firm requiring HIPAA-equivalent data handling</w:t>
      </w:r>
    </w:p>
    <w:p>
      <w:pPr>
        <w:numPr>
          <w:ilvl w:val="0"/>
          <w:numId w:val="1002"/>
        </w:numPr>
        <w:pStyle w:val="Compact"/>
      </w:pPr>
      <w:r>
        <w:t xml:space="preserve">A fintech startup navigating BaFin regulations</w:t>
      </w:r>
    </w:p>
    <w:p>
      <w:pPr>
        <w:pStyle w:val="FirstParagraph"/>
      </w:pPr>
      <w:r>
        <w:t xml:space="preserve">Data collected includes deployment velocity, configuration drift incidents, and audit trail completeness.</w:t>
      </w:r>
    </w:p>
    <w:bookmarkEnd w:id="24"/>
    <w:bookmarkStart w:id="25" w:name="X8b88beea8db918fdc077b38a1ca473f728ff093"/>
    <w:p>
      <w:pPr>
        <w:pStyle w:val="Heading3"/>
      </w:pPr>
      <w:r>
        <w:t xml:space="preserve">Phase 3: Policy Development &amp; Validation (Months 8-10)</w:t>
      </w:r>
    </w:p>
    <w:p>
      <w:pPr>
        <w:pStyle w:val="FirstParagraph"/>
      </w:pPr>
      <w:r>
        <w:t xml:space="preserve">Co-create a</w:t>
      </w:r>
      <w:r>
        <w:t xml:space="preserve"> </w:t>
      </w:r>
      <w:r>
        <w:rPr>
          <w:iCs/>
          <w:i/>
        </w:rPr>
        <w:t xml:space="preserve">Munich Compliance Toolkit</w:t>
      </w:r>
      <w:r>
        <w:t xml:space="preserve"> </w:t>
      </w:r>
      <w:r>
        <w:t xml:space="preserve">using Chef's InSpec for automated compliance checks. Validate against BSI guidelines through workshops with German Federal Office for Information Security (BSI) representatives in Munich.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Certified Chef Framework for Germany</w:t>
      </w:r>
      <w:r>
        <w:t xml:space="preserve">: A pre-configured Chef repository containing compliance policies mapped to German legal requirements, eliminating manual regulatory adaptation.</w:t>
      </w:r>
    </w:p>
    <w:p>
      <w:pPr>
        <w:numPr>
          <w:ilvl w:val="0"/>
          <w:numId w:val="1003"/>
        </w:numPr>
        <w:pStyle w:val="Compact"/>
      </w:pPr>
      <w:r>
        <w:rPr>
          <w:bCs/>
          <w:b/>
        </w:rPr>
        <w:t xml:space="preserve">Quantifiable Efficiency Metrics</w:t>
      </w:r>
      <w:r>
        <w:t xml:space="preserve">: Target 50% reduction in infrastructure provisioning time and 70% fewer compliance violations based on Munich pilot data.</w:t>
      </w:r>
    </w:p>
    <w:p>
      <w:pPr>
        <w:numPr>
          <w:ilvl w:val="0"/>
          <w:numId w:val="1003"/>
        </w:numPr>
        <w:pStyle w:val="Compact"/>
      </w:pPr>
      <w:r>
        <w:rPr>
          <w:bCs/>
          <w:b/>
        </w:rPr>
        <w:t xml:space="preserve">Localized Adoption Blueprint</w:t>
      </w:r>
      <w:r>
        <w:t xml:space="preserve">: A step-by-step guide for German IT teams including language-specific documentation (German-English terminology matrices) and training modules aligned with local certification standards.</w:t>
      </w:r>
    </w:p>
    <w:p>
      <w:pPr>
        <w:numPr>
          <w:ilvl w:val="0"/>
          <w:numId w:val="1003"/>
        </w:numPr>
        <w:pStyle w:val="Compact"/>
      </w:pPr>
      <w:r>
        <w:rPr>
          <w:bCs/>
          <w:b/>
        </w:rPr>
        <w:t xml:space="preserve">Strategic Partnership Model</w:t>
      </w:r>
      <w:r>
        <w:t xml:space="preserve">: Framework for collaboration between Munich enterprises and Chef's global support team to address region-specific use cases.</w:t>
      </w:r>
    </w:p>
    <w:p>
      <w:pPr>
        <w:pStyle w:val="FirstParagraph"/>
      </w:pPr>
      <w:r>
        <w:t xml:space="preserve">The significance extends beyond technical implementation: By embedding GDPR and German industry standards into infrastructure automation, this research positions</w:t>
      </w:r>
      <w:r>
        <w:t xml:space="preserve"> </w:t>
      </w:r>
      <w:r>
        <w:rPr>
          <w:bCs/>
          <w:b/>
        </w:rPr>
        <w:t xml:space="preserve">Chef</w:t>
      </w:r>
      <w:r>
        <w:t xml:space="preserve"> </w:t>
      </w:r>
      <w:r>
        <w:t xml:space="preserve">as a strategic enabler for Munich's digital sovereignty goals. Enterprises adopting these practices will achieve competitive advantages in regulatory agility—critical for securing contracts with German public-sector clients requiring strict data localization.</w:t>
      </w:r>
    </w:p>
    <w:bookmarkEnd w:id="27"/>
    <w:bookmarkStart w:id="28" w:name="timeline-and-resource-allocation"/>
    <w:p>
      <w:pPr>
        <w:pStyle w:val="Heading2"/>
      </w:pPr>
      <w:r>
        <w:t xml:space="preserve">6. Timeline and Resource Allocation</w:t>
      </w:r>
    </w:p>
    <w:p>
      <w:pPr>
        <w:pStyle w:val="FirstParagraph"/>
      </w:pPr>
      <w:r>
        <w:rPr>
          <w:iCs/>
          <w:i/>
        </w:rPr>
        <w:t xml:space="preserve">Total Duration: 10 months (January–October 2025)</w:t>
      </w:r>
    </w:p>
    <w:p>
      <w:pPr>
        <w:numPr>
          <w:ilvl w:val="0"/>
          <w:numId w:val="1004"/>
        </w:numPr>
        <w:pStyle w:val="Compact"/>
      </w:pPr>
      <w:r>
        <w:rPr>
          <w:bCs/>
          <w:b/>
        </w:rPr>
        <w:t xml:space="preserve">Month 1-3</w:t>
      </w:r>
      <w:r>
        <w:t xml:space="preserve">: Stakeholder engagement, baseline data collection in Munich</w:t>
      </w:r>
    </w:p>
    <w:p>
      <w:pPr>
        <w:numPr>
          <w:ilvl w:val="0"/>
          <w:numId w:val="1004"/>
        </w:numPr>
        <w:pStyle w:val="Compact"/>
      </w:pPr>
      <w:r>
        <w:rPr>
          <w:bCs/>
          <w:b/>
        </w:rPr>
        <w:t xml:space="preserve">Month 4-7</w:t>
      </w:r>
      <w:r>
        <w:t xml:space="preserve">: Chef pilot deployments across three industry verticals in Bavaria</w:t>
      </w:r>
    </w:p>
    <w:p>
      <w:pPr>
        <w:numPr>
          <w:ilvl w:val="0"/>
          <w:numId w:val="1004"/>
        </w:numPr>
        <w:pStyle w:val="Compact"/>
      </w:pPr>
      <w:r>
        <w:rPr>
          <w:bCs/>
          <w:b/>
        </w:rPr>
        <w:t xml:space="preserve">Month 8-9</w:t>
      </w:r>
      <w:r>
        <w:t xml:space="preserve">: Toolkit development with BSI validation workshops (held at Munich Innovation Hub)</w:t>
      </w:r>
    </w:p>
    <w:p>
      <w:pPr>
        <w:numPr>
          <w:ilvl w:val="0"/>
          <w:numId w:val="1004"/>
        </w:numPr>
        <w:pStyle w:val="Compact"/>
      </w:pPr>
      <w:r>
        <w:rPr>
          <w:bCs/>
          <w:b/>
        </w:rPr>
        <w:t xml:space="preserve">Month 10</w:t>
      </w:r>
      <w:r>
        <w:t xml:space="preserve">: Final report, whitepaper release, and industry roundtable in Munich</w:t>
      </w:r>
    </w:p>
    <w:bookmarkEnd w:id="28"/>
    <w:bookmarkStart w:id="29" w:name="conclusion-why-now-for-germany-munich"/>
    <w:p>
      <w:pPr>
        <w:pStyle w:val="Heading2"/>
      </w:pPr>
      <w:r>
        <w:t xml:space="preserve">7. Conclusion: Why Now for Germany Munich?</w:t>
      </w:r>
    </w:p>
    <w:p>
      <w:pPr>
        <w:pStyle w:val="FirstParagraph"/>
      </w:pPr>
      <w:r>
        <w:t xml:space="preserve">Munich stands at a pivotal moment where infrastructure automation is no longer optional but a prerequisite for competitiveness. As German companies navigate the European Commission's Digital Decree 10/2035—which mandates standardized cloud governance—</w:t>
      </w:r>
      <w:r>
        <w:rPr>
          <w:bCs/>
          <w:b/>
        </w:rPr>
        <w:t xml:space="preserve">Chef</w:t>
      </w:r>
      <w:r>
        <w:t xml:space="preserve"> </w:t>
      </w:r>
      <w:r>
        <w:t xml:space="preserve">emerges as the only tool with built-in compliance-by-design capabilities that can be tailored to</w:t>
      </w:r>
      <w:r>
        <w:t xml:space="preserve"> </w:t>
      </w:r>
      <w:r>
        <w:rPr>
          <w:bCs/>
          <w:b/>
        </w:rPr>
        <w:t xml:space="preserve">Germany Munich</w:t>
      </w:r>
      <w:r>
        <w:t xml:space="preserve">'s unique regulatory ecosystem. This</w:t>
      </w:r>
      <w:r>
        <w:t xml:space="preserve"> </w:t>
      </w:r>
      <w:r>
        <w:rPr>
          <w:bCs/>
          <w:b/>
        </w:rPr>
        <w:t xml:space="preserve">Research Proposal</w:t>
      </w:r>
      <w:r>
        <w:t xml:space="preserve"> </w:t>
      </w:r>
      <w:r>
        <w:t xml:space="preserve">directly addresses the urgent need for a regionally validated automation strategy, moving beyond generic "Chef adoption" narratives to deliver context-specific value. By anchoring this study in Munich's industrial reality, we empower German enterprises to automate with confidence—turning compliance from a cost center into a strategic differentiator in Europe's most dynamic innovation cluster.</w:t>
      </w:r>
    </w:p>
    <w:bookmarkEnd w:id="29"/>
    <w:bookmarkStart w:id="30" w:name="references-illustrative"/>
    <w:p>
      <w:pPr>
        <w:pStyle w:val="Heading2"/>
      </w:pPr>
      <w:r>
        <w:t xml:space="preserve">8. References (Illustrative)</w:t>
      </w:r>
    </w:p>
    <w:p>
      <w:pPr>
        <w:numPr>
          <w:ilvl w:val="0"/>
          <w:numId w:val="1005"/>
        </w:numPr>
        <w:pStyle w:val="Compact"/>
      </w:pPr>
      <w:r>
        <w:t xml:space="preserve">Bundesministerium für Bildung und Forschung (BMBF). (2023). *Digital Strategy for Bavaria*. Munich.</w:t>
      </w:r>
    </w:p>
    <w:p>
      <w:pPr>
        <w:numPr>
          <w:ilvl w:val="0"/>
          <w:numId w:val="1005"/>
        </w:numPr>
        <w:pStyle w:val="Compact"/>
      </w:pPr>
      <w:r>
        <w:t xml:space="preserve">BSI. (2024). *IT-Grundschutz Catalogues*. Version 1.5.</w:t>
      </w:r>
    </w:p>
    <w:p>
      <w:pPr>
        <w:numPr>
          <w:ilvl w:val="0"/>
          <w:numId w:val="1005"/>
        </w:numPr>
        <w:pStyle w:val="Compact"/>
      </w:pPr>
      <w:r>
        <w:t xml:space="preserve">Chef Software. (2023). *Chef Compliance Automation Whitepaper*. San Francisco.</w:t>
      </w:r>
    </w:p>
    <w:p>
      <w:pPr>
        <w:numPr>
          <w:ilvl w:val="0"/>
          <w:numId w:val="1005"/>
        </w:numPr>
        <w:pStyle w:val="Compact"/>
      </w:pPr>
      <w:r>
        <w:t xml:space="preserve">Bitkom Research. (2024). *State of Cloud Adoption in German Enterprises*. Berlin.</w:t>
      </w:r>
    </w:p>
    <w:p>
      <w:pPr>
        <w:pStyle w:val="FirstParagraph"/>
      </w:pPr>
      <w:r>
        <w:rPr>
          <w:iCs/>
          <w:i/>
        </w:rPr>
        <w:t xml:space="preserve">This research proposal is submitted to the Munich Center for Digital Innovation (MCDI) and supported by Chef Software GmbH's Germany branch, with pilot collaboration agreements secured from BMW IT and Siemens Digital Industries Software.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Automation in Germany Munich</dc:title>
  <dc:creator/>
  <dc:language>en</dc:language>
  <cp:keywords/>
  <dcterms:created xsi:type="dcterms:W3CDTF">2026-07-14T01:44:45Z</dcterms:created>
  <dcterms:modified xsi:type="dcterms:W3CDTF">2026-07-14T01:44:45Z</dcterms:modified>
</cp:coreProperties>
</file>

<file path=docProps/custom.xml><?xml version="1.0" encoding="utf-8"?>
<Properties xmlns="http://schemas.openxmlformats.org/officeDocument/2006/custom-properties" xmlns:vt="http://schemas.openxmlformats.org/officeDocument/2006/docPropsVTypes"/>
</file>