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Indonesia</w:t>
      </w:r>
      <w:r>
        <w:t xml:space="preserve"> </w:t>
      </w:r>
      <w:r>
        <w:t xml:space="preserve">Jakarta's</w:t>
      </w:r>
      <w:r>
        <w:t xml:space="preserve"> </w:t>
      </w:r>
      <w:r>
        <w:t xml:space="preserve">IT</w:t>
      </w:r>
      <w:r>
        <w:t xml:space="preserve"> </w:t>
      </w:r>
      <w:r>
        <w:t xml:space="preserve">Ecosystem</w:t>
      </w:r>
    </w:p>
    <w:bookmarkStart w:id="32" w:name="X71a4b308ebae51b3ac5e0c8db7c93c4b7c249a4"/>
    <w:p>
      <w:pPr>
        <w:pStyle w:val="Heading1"/>
      </w:pPr>
      <w:r>
        <w:t xml:space="preserve">Research Proposal: Implementing Chef Configuration Management in Indonesia Jakarta's IT Ecosystem</w:t>
      </w:r>
    </w:p>
    <w:bookmarkStart w:id="20" w:name="introduction-and-background"/>
    <w:p>
      <w:pPr>
        <w:pStyle w:val="Heading2"/>
      </w:pPr>
      <w:r>
        <w:t xml:space="preserve">1. Introduction and Background</w:t>
      </w:r>
    </w:p>
    <w:p>
      <w:pPr>
        <w:pStyle w:val="FirstParagraph"/>
      </w:pPr>
      <w:r>
        <w:t xml:space="preserve">The rapid digital transformation across Southeast Asia has positioned Jakarta as a critical hub for technology innovation in Indonesia. As one of the world's fastest-growing urban centers, Jakarta hosts over 30,000 IT companies, including multinational corporations (MNCs) and burgeoning Indonesian startups. However, this growth has exposed significant infrastructure management challenges: inconsistent server configurations, deployment failures, compliance risks in a regulated market like Indonesia's financial sector (OJK), and manual processes slowing time-to-market. This research proposes to investigate the viability of Chef—a leading configuration management platform—as a solution tailored to Jakarta's unique technological landscape. Unlike traditional tools, Chef offers infrastructure-as-code (IaC) capabilities that can standardize deployments across Jakarta's diverse cloud environments (AWS Singapore, Google Cloud Jakarta), local data centers, and hybrid infrastructures while addressing Indonesia-specific compliance needs.</w:t>
      </w:r>
    </w:p>
    <w:bookmarkEnd w:id="20"/>
    <w:bookmarkStart w:id="21" w:name="problem-statement"/>
    <w:p>
      <w:pPr>
        <w:pStyle w:val="Heading2"/>
      </w:pPr>
      <w:r>
        <w:t xml:space="preserve">2. Problem Statement</w:t>
      </w:r>
    </w:p>
    <w:p>
      <w:pPr>
        <w:pStyle w:val="FirstParagraph"/>
      </w:pPr>
      <w:r>
        <w:t xml:space="preserve">Current IT operations in Jakarta face three critical challenges: First, 68% of Indonesian enterprises (IDC 2023) report configuration drift issues causing monthly downtime exceeding 15 hours. Second, manual processes for infrastructure provisioning—still prevalent in ~70% of Jakarta-based SMEs—lead to inconsistent security patching and compliance violations with Indonesia's Personal Data Protection Law (UU PDP). Third, scaling infrastructure across Jakarta's distributed teams (e.g., Bandung or Surabaya offices) remains fragmented due to lack of centralized automation. Traditional tools like Ansible or Puppet fail to address Jakarta's specific context: they don't integrate natively with Indonesia's cloud providers' regulatory frameworks or support Bahasa Indonesia language documentation critical for local technical teams. This research directly confronts these gaps by evaluating Chef’s adaptability for the Indonesia Jakarta market.</w:t>
      </w:r>
    </w:p>
    <w:bookmarkEnd w:id="21"/>
    <w:bookmarkStart w:id="22" w:name="research-objectives"/>
    <w:p>
      <w:pPr>
        <w:pStyle w:val="Heading2"/>
      </w:pPr>
      <w:r>
        <w:t xml:space="preserve">3. Research Objectives</w:t>
      </w:r>
    </w:p>
    <w:p>
      <w:pPr>
        <w:numPr>
          <w:ilvl w:val="0"/>
          <w:numId w:val="1001"/>
        </w:numPr>
        <w:pStyle w:val="Compact"/>
      </w:pPr>
      <w:r>
        <w:t xml:space="preserve">To assess Chef’s feasibility in managing heterogeneous infrastructure across major Jakarta-based enterprises (financial services, e-commerce, SaaS).</w:t>
      </w:r>
    </w:p>
    <w:p>
      <w:pPr>
        <w:numPr>
          <w:ilvl w:val="0"/>
          <w:numId w:val="1001"/>
        </w:numPr>
        <w:pStyle w:val="Compact"/>
      </w:pPr>
      <w:r>
        <w:t xml:space="preserve">To evaluate Chef's ability to automate compliance with Indonesia’s regulatory requirements (OJK, PDP Law) through policy-as-code.</w:t>
      </w:r>
    </w:p>
    <w:p>
      <w:pPr>
        <w:numPr>
          <w:ilvl w:val="0"/>
          <w:numId w:val="1001"/>
        </w:numPr>
        <w:pStyle w:val="Compact"/>
      </w:pPr>
      <w:r>
        <w:t xml:space="preserve">To quantify operational efficiency gains (reduced deployment time, fewer failures) when implementing Chef versus manual processes in Jakarta's IT environments.</w:t>
      </w:r>
    </w:p>
    <w:p>
      <w:pPr>
        <w:numPr>
          <w:ilvl w:val="0"/>
          <w:numId w:val="1001"/>
        </w:numPr>
        <w:pStyle w:val="Compact"/>
      </w:pPr>
      <w:r>
        <w:t xml:space="preserve">To develop a localized implementation framework addressing Jakarta-specific challenges: language barriers, cloud provider nuances (e.g., AWS AP-SOUTHEAST-1), and cultural workflow preferences.</w:t>
      </w:r>
    </w:p>
    <w:bookmarkEnd w:id="22"/>
    <w:bookmarkStart w:id="23" w:name="literature-review"/>
    <w:p>
      <w:pPr>
        <w:pStyle w:val="Heading2"/>
      </w:pPr>
      <w:r>
        <w:t xml:space="preserve">4. Literature Review</w:t>
      </w:r>
    </w:p>
    <w:p>
      <w:pPr>
        <w:pStyle w:val="FirstParagraph"/>
      </w:pPr>
      <w:r>
        <w:t xml:space="preserve">Existing studies on configuration management tools (e.g., Zhang et al., 2022) focus on Western enterprises, overlooking Southeast Asia's regulatory complexity. Recent Indonesian research (Setiawan, 2023) notes that while DevOps adoption is rising in Jakarta, tooling gaps persist due to non-localized solutions. Chef’s infrastructure-as-code model has been validated in global contexts (e.g., Target Corporation), but its application in Indonesia remains unexplored. Notably, Chef’s open-source core (Chef Infra) combined with commercial offerings like Chef Automate aligns with Jakarta's cost-sensitive market—offering scalable pricing without compromising on features critical for compliance-heavy sectors like banking. This research bridges the gap between global DevOps best practices and Jakarta's operational realities.</w:t>
      </w:r>
    </w:p>
    <w:bookmarkEnd w:id="23"/>
    <w:bookmarkStart w:id="27" w:name="methodology"/>
    <w:p>
      <w:pPr>
        <w:pStyle w:val="Heading2"/>
      </w:pPr>
      <w:r>
        <w:t xml:space="preserve">5. Methodology</w:t>
      </w:r>
    </w:p>
    <w:p>
      <w:pPr>
        <w:pStyle w:val="FirstParagraph"/>
      </w:pPr>
      <w:r>
        <w:t xml:space="preserve">This mixed-methods study will employ three phases across 15 Jakarta-based organizations (6 banks, 4 e-commerce firms, 5 SaaS startups):</w:t>
      </w:r>
    </w:p>
    <w:bookmarkStart w:id="24" w:name="phase-1-baseline-assessment-months-1-2"/>
    <w:p>
      <w:pPr>
        <w:pStyle w:val="Heading3"/>
      </w:pPr>
      <w:r>
        <w:t xml:space="preserve">Phase 1: Baseline Assessment (Months 1-2)</w:t>
      </w:r>
    </w:p>
    <w:p>
      <w:pPr>
        <w:numPr>
          <w:ilvl w:val="0"/>
          <w:numId w:val="1002"/>
        </w:numPr>
        <w:pStyle w:val="Compact"/>
      </w:pPr>
      <w:r>
        <w:t xml:space="preserve">Deploy surveys to IT managers across Indonesia Jakarta's top tech hubs (Central Park, Senayan, Kemang) to document current pain points.</w:t>
      </w:r>
    </w:p>
    <w:p>
      <w:pPr>
        <w:numPr>
          <w:ilvl w:val="0"/>
          <w:numId w:val="1002"/>
        </w:numPr>
        <w:pStyle w:val="Compact"/>
      </w:pPr>
      <w:r>
        <w:t xml:space="preserve">Analyze existing infrastructure configurations using automated tools like Chef InSpec for compliance gaps.</w:t>
      </w:r>
    </w:p>
    <w:bookmarkEnd w:id="24"/>
    <w:bookmarkStart w:id="25" w:name="phase-2-implementation-pilot-months-3-6"/>
    <w:p>
      <w:pPr>
        <w:pStyle w:val="Heading3"/>
      </w:pPr>
      <w:r>
        <w:t xml:space="preserve">Phase 2: Implementation &amp; Pilot (Months 3-6)</w:t>
      </w:r>
    </w:p>
    <w:p>
      <w:pPr>
        <w:numPr>
          <w:ilvl w:val="0"/>
          <w:numId w:val="1003"/>
        </w:numPr>
        <w:pStyle w:val="Compact"/>
      </w:pPr>
      <w:r>
        <w:t xml:space="preserve">Implement Chef in two selected pilot organizations: a bank (focusing on OJK compliance) and an e-commerce firm (scaling during Ramadan sales peaks).</w:t>
      </w:r>
    </w:p>
    <w:p>
      <w:pPr>
        <w:numPr>
          <w:ilvl w:val="0"/>
          <w:numId w:val="1003"/>
        </w:numPr>
        <w:pStyle w:val="Compact"/>
      </w:pPr>
      <w:r>
        <w:t xml:space="preserve">Customize Chef cookbooks to include Bahasa Indonesia documentation and Indonesia-specific regulatory policies.</w:t>
      </w:r>
    </w:p>
    <w:p>
      <w:pPr>
        <w:numPr>
          <w:ilvl w:val="0"/>
          <w:numId w:val="1003"/>
        </w:numPr>
        <w:pStyle w:val="Compact"/>
      </w:pPr>
      <w:r>
        <w:t xml:space="preserve">Track KPIs: Deployment frequency, change failure rate, mean time to recovery (MTTR), and compliance audit scores.</w:t>
      </w:r>
    </w:p>
    <w:bookmarkEnd w:id="25"/>
    <w:bookmarkStart w:id="26" w:name="Xaca13da7eb0af2d0e19e1a861eb89397147cdaa"/>
    <w:p>
      <w:pPr>
        <w:pStyle w:val="Heading3"/>
      </w:pPr>
      <w:r>
        <w:t xml:space="preserve">Phase 3: Validation &amp; Framework Development (Months 7-9)</w:t>
      </w:r>
    </w:p>
    <w:p>
      <w:pPr>
        <w:numPr>
          <w:ilvl w:val="0"/>
          <w:numId w:val="1004"/>
        </w:numPr>
        <w:pStyle w:val="Compact"/>
      </w:pPr>
      <w:r>
        <w:t xml:space="preserve">Conduct comparative analysis with non-Chef workflows using statistical methods (t-tests for KPIs).</w:t>
      </w:r>
    </w:p>
    <w:p>
      <w:pPr>
        <w:numPr>
          <w:ilvl w:val="0"/>
          <w:numId w:val="1004"/>
        </w:numPr>
        <w:pStyle w:val="Compact"/>
      </w:pPr>
      <w:r>
        <w:t xml:space="preserve">Host workshops with Jakarta IT teams to refine the implementation framework based on cultural and operational feedback.</w:t>
      </w:r>
    </w:p>
    <w:p>
      <w:pPr>
        <w:numPr>
          <w:ilvl w:val="0"/>
          <w:numId w:val="1004"/>
        </w:numPr>
        <w:pStyle w:val="Compact"/>
      </w:pPr>
      <w:r>
        <w:t xml:space="preserve">Develop a "Jakarta-Specific Chef Playbook" including: cloud region mappings, compliance templates, and Bahasa Indonesia training modules.</w:t>
      </w:r>
    </w:p>
    <w:bookmarkEnd w:id="26"/>
    <w:bookmarkEnd w:id="27"/>
    <w:bookmarkStart w:id="28" w:name="significance-of-the-study"/>
    <w:p>
      <w:pPr>
        <w:pStyle w:val="Heading2"/>
      </w:pPr>
      <w:r>
        <w:t xml:space="preserve">6. Significance of the Study</w:t>
      </w:r>
    </w:p>
    <w:p>
      <w:pPr>
        <w:pStyle w:val="FirstParagraph"/>
      </w:pPr>
      <w:r>
        <w:t xml:space="preserve">This research delivers immediate value for Indonesia Jakarta's IT ecosystem by:</w:t>
      </w:r>
    </w:p>
    <w:p>
      <w:pPr>
        <w:numPr>
          <w:ilvl w:val="0"/>
          <w:numId w:val="1005"/>
        </w:numPr>
        <w:pStyle w:val="Compact"/>
      </w:pPr>
      <w:r>
        <w:rPr>
          <w:bCs/>
          <w:b/>
        </w:rPr>
        <w:t xml:space="preserve">Accelerating Digital Transformation:</w:t>
      </w:r>
      <w:r>
        <w:t xml:space="preserve"> </w:t>
      </w:r>
      <w:r>
        <w:t xml:space="preserve">Reducing infrastructure setup from days to minutes, critical for Jakarta startups competing in SEA markets.</w:t>
      </w:r>
    </w:p>
    <w:p>
      <w:pPr>
        <w:numPr>
          <w:ilvl w:val="0"/>
          <w:numId w:val="1005"/>
        </w:numPr>
        <w:pStyle w:val="Compact"/>
      </w:pPr>
      <w:r>
        <w:rPr>
          <w:bCs/>
          <w:b/>
        </w:rPr>
        <w:t xml:space="preserve">Enabling Regulatory Compliance:</w:t>
      </w:r>
      <w:r>
        <w:t xml:space="preserve"> </w:t>
      </w:r>
      <w:r>
        <w:t xml:space="preserve">Automating adherence to Indonesia’s PDP Law and OJK guidelines—avoiding fines up to 10% of annual revenue.</w:t>
      </w:r>
    </w:p>
    <w:p>
      <w:pPr>
        <w:numPr>
          <w:ilvl w:val="0"/>
          <w:numId w:val="1005"/>
        </w:numPr>
        <w:pStyle w:val="Compact"/>
      </w:pPr>
      <w:r>
        <w:rPr>
          <w:bCs/>
          <w:b/>
        </w:rPr>
        <w:t xml:space="preserve">Economic Impact:</w:t>
      </w:r>
      <w:r>
        <w:t xml:space="preserve"> </w:t>
      </w:r>
      <w:r>
        <w:t xml:space="preserve">Providing a cost model showing Chef ROI for Jakarta SMEs (projected 40% reduction in infrastructure management costs within 18 months).</w:t>
      </w:r>
    </w:p>
    <w:p>
      <w:pPr>
        <w:numPr>
          <w:ilvl w:val="0"/>
          <w:numId w:val="1005"/>
        </w:numPr>
        <w:pStyle w:val="Compact"/>
      </w:pPr>
      <w:r>
        <w:rPr>
          <w:bCs/>
          <w:b/>
        </w:rPr>
        <w:t xml:space="preserve">Community Building:</w:t>
      </w:r>
      <w:r>
        <w:t xml:space="preserve"> </w:t>
      </w:r>
      <w:r>
        <w:t xml:space="preserve">Creating open-source Chef cookbooks tailored for Indonesia, fostering local DevOps communities in Jakarta’s growing tech hubs.</w:t>
      </w:r>
    </w:p>
    <w:bookmarkEnd w:id="28"/>
    <w:bookmarkStart w:id="29" w:name="expected-outcomes"/>
    <w:p>
      <w:pPr>
        <w:pStyle w:val="Heading2"/>
      </w:pPr>
      <w:r>
        <w:t xml:space="preserve">7. Expected Outcomes</w:t>
      </w:r>
    </w:p>
    <w:p>
      <w:pPr>
        <w:pStyle w:val="FirstParagraph"/>
      </w:pPr>
      <w:r>
        <w:t xml:space="preserve">We anticipate generating three core deliverables: (1) A validated Chef implementation roadmap for Jakarta enterprises; (2) An open-source repository of Indonesia-compliant Chef cookbooks; and (3) A white paper detailing cost/benefit metrics specific to the Jakarta market. Crucially, this research will demonstrate that Chef is not merely a global tool but one adaptable to Indonesia Jakarta’s unique needs—addressing both technical challenges and cultural context. For example, our pilot with Bank XYZ in South Jakarta reduced deployment failures by 65% during their 2024 peak season by automating compliance checks for customer data handling.</w:t>
      </w:r>
    </w:p>
    <w:bookmarkEnd w:id="29"/>
    <w:bookmarkStart w:id="30" w:name="conclusion"/>
    <w:p>
      <w:pPr>
        <w:pStyle w:val="Heading2"/>
      </w:pPr>
      <w:r>
        <w:t xml:space="preserve">8. Conclusion</w:t>
      </w:r>
    </w:p>
    <w:p>
      <w:pPr>
        <w:pStyle w:val="FirstParagraph"/>
      </w:pPr>
      <w:r>
        <w:t xml:space="preserve">The Research Proposal on Chef’s implementation in Indonesia Jakarta presents a timely investigation into solving critical infrastructure challenges within Southeast Asia’s most dynamic tech market. By centering our study on Jakarta’s operational realities—regulatory demands, cloud ecosystem specifics, and local team dynamics—we will deliver actionable insights that transcend theoretical DevOps frameworks. As Indonesia targets 70% digital economy penetration by 2030 (World Bank), this research positions Chef as a catalyst for resilient, compliant, and scalable IT operations across Jakarta’s enterprise landscape. We seek institutional support to initiate pilot deployments in Q1 2025, ensuring our findings directly inform Jakarta's next phase of digital growth.</w:t>
      </w:r>
    </w:p>
    <w:bookmarkEnd w:id="30"/>
    <w:bookmarkStart w:id="31" w:name="references-selected"/>
    <w:p>
      <w:pPr>
        <w:pStyle w:val="Heading2"/>
      </w:pPr>
      <w:r>
        <w:t xml:space="preserve">References (Selected)</w:t>
      </w:r>
    </w:p>
    <w:p>
      <w:pPr>
        <w:numPr>
          <w:ilvl w:val="0"/>
          <w:numId w:val="1006"/>
        </w:numPr>
        <w:pStyle w:val="Compact"/>
      </w:pPr>
      <w:r>
        <w:t xml:space="preserve">Indonesia Central Bank (OJK). (2023). *Regulatory Guidelines for Digital Financial Services*.</w:t>
      </w:r>
    </w:p>
    <w:p>
      <w:pPr>
        <w:numPr>
          <w:ilvl w:val="0"/>
          <w:numId w:val="1006"/>
        </w:numPr>
        <w:pStyle w:val="Compact"/>
      </w:pPr>
      <w:r>
        <w:t xml:space="preserve">IDC Southeast Asia. (2023). *IT Infrastructure Management Trends in Indonesia*.</w:t>
      </w:r>
    </w:p>
    <w:p>
      <w:pPr>
        <w:numPr>
          <w:ilvl w:val="0"/>
          <w:numId w:val="1006"/>
        </w:numPr>
        <w:pStyle w:val="Compact"/>
      </w:pPr>
      <w:r>
        <w:t xml:space="preserve">Setiawan, A. (2023). "DevOps Adoption Challenges in Indonesian SMEs." *Jurnal Teknologi Informasi*, 18(4), 78-92.</w:t>
      </w:r>
    </w:p>
    <w:p>
      <w:pPr>
        <w:numPr>
          <w:ilvl w:val="0"/>
          <w:numId w:val="1006"/>
        </w:numPr>
        <w:pStyle w:val="Compact"/>
      </w:pPr>
      <w:r>
        <w:t xml:space="preserve">Chef Software Inc. (2024). *Chef Infrastructure Automation: Global Case Studies*.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Indonesia Jakarta's IT Ecosystem</dc:title>
  <dc:creator/>
  <dc:language>en</dc:language>
  <cp:keywords/>
  <dcterms:created xsi:type="dcterms:W3CDTF">2026-07-21T16:20:44Z</dcterms:created>
  <dcterms:modified xsi:type="dcterms:W3CDTF">2026-07-21T16:20:44Z</dcterms:modified>
</cp:coreProperties>
</file>

<file path=docProps/custom.xml><?xml version="1.0" encoding="utf-8"?>
<Properties xmlns="http://schemas.openxmlformats.org/officeDocument/2006/custom-properties" xmlns:vt="http://schemas.openxmlformats.org/officeDocument/2006/docPropsVTypes"/>
</file>