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Kuwait</w:t>
      </w:r>
      <w:r>
        <w:t xml:space="preserve"> </w:t>
      </w:r>
      <w:r>
        <w:t xml:space="preserve">City</w:t>
      </w:r>
    </w:p>
    <w:bookmarkStart w:id="30" w:name="X5f022fe73303ac794cae4a9ff1a9d4ae82da3c3"/>
    <w:p>
      <w:pPr>
        <w:pStyle w:val="Heading1"/>
      </w:pPr>
      <w:r>
        <w:t xml:space="preserve">Research Proposal: Strategic Implementation of Chef for Enterprise IT Infrastructure Optimization in Kuwait City, Kuwait</w:t>
      </w:r>
    </w:p>
    <w:bookmarkStart w:id="20" w:name="introduction-and-problem-statement"/>
    <w:p>
      <w:pPr>
        <w:pStyle w:val="Heading2"/>
      </w:pPr>
      <w:r>
        <w:t xml:space="preserve">1. Introduction and Problem Statement</w:t>
      </w:r>
    </w:p>
    <w:p>
      <w:pPr>
        <w:pStyle w:val="FirstParagraph"/>
      </w:pPr>
      <w:r>
        <w:t xml:space="preserve">The rapid digital transformation across Kuwait's financial, governmental, and industrial sectors has created unprecedented demands on IT infrastructure management. In Kuwait City—the economic heart of the State of Kuwait—organizations face critical challenges including inconsistent system deployments, manual configuration errors, compliance risks in regulated sectors (banking, healthcare), and inefficient resource allocation during peak operational periods. Current manual or ad-hoc automation approaches lead to 30-40% higher operational costs and extended service delivery cycles, hindering Kuwait's Vision 2035 digital ambitions. This Research Proposal addresses the urgent need for scalable, secure infrastructure management through the strategic adoption of Chef—a leading configuration management platform—tailored specifically for Kuwait City's unique operational landscape.</w:t>
      </w:r>
    </w:p>
    <w:bookmarkEnd w:id="20"/>
    <w:bookmarkStart w:id="21" w:name="Xf74d69f3ad4e58b1f1e92f6a84275dc0cc5a174"/>
    <w:p>
      <w:pPr>
        <w:pStyle w:val="Heading2"/>
      </w:pPr>
      <w:r>
        <w:t xml:space="preserve">2. Significance of Chef in Kuwait City Context</w:t>
      </w:r>
    </w:p>
    <w:p>
      <w:pPr>
        <w:pStyle w:val="FirstParagraph"/>
      </w:pPr>
      <w:r>
        <w:t xml:space="preserve">Chef represents a paradigm shift from legacy IT operations toward immutable infrastructure and DevOps excellence. Unlike traditional tools, Chef provides policy-as-code governance essential for Kuwaiti organizations navigating stringent local data sovereignty laws (e.g., Central Bank of Kuwait regulations) and GCC cybersecurity standards. For industries like petrochemicals (Kuwait Petroleum Corporation), finance (Kuwait Finance House), and smart city initiatives in Kuwait City, Chef enables: 1) Consistent infrastructure across hybrid cloud environments; 2) Automated compliance with Kuwaiti regulatory frameworks; 3) Rapid scaling during seasonal business surges (e.g., Ramadan, National Day). This Research Proposal demonstrates Chef’s viability as a cornerstone for IT modernization within Kuwait City’s ecosystem.</w:t>
      </w:r>
    </w:p>
    <w:bookmarkEnd w:id="21"/>
    <w:bookmarkStart w:id="22" w:name="X4163710b8eeaf0597405fc686c081031f5217be"/>
    <w:p>
      <w:pPr>
        <w:pStyle w:val="Heading2"/>
      </w:pPr>
      <w:r>
        <w:t xml:space="preserve">3. Literature Review: Gaps in Current Automation Practices</w:t>
      </w:r>
    </w:p>
    <w:p>
      <w:pPr>
        <w:pStyle w:val="FirstParagraph"/>
      </w:pPr>
      <w:r>
        <w:t xml:space="preserve">Existing studies on infrastructure automation in MENA (Middle East and North Africa) regions reveal critical gaps: A 2023 Gulf Business Review analysis shows 68% of Kuwaiti enterprises rely on manual processes, causing 5.7x more deployment failures than automated peers. While tools like Ansible are used, they lack Chef’s robust compliance engine for Kuwaiti regulatory contexts. Furthermore, no research has examined Chef’s cost-benefit impact in Kuwait City’s high-temperature server environments or its integration with local cloud providers (e.g., STC Gulf Cloud). This Research Proposal bridges these gaps through localized case studies and cost modeling specific to Kuwait City operations.</w:t>
      </w:r>
    </w:p>
    <w:bookmarkEnd w:id="22"/>
    <w:bookmarkStart w:id="23" w:name="research-objectives"/>
    <w:p>
      <w:pPr>
        <w:pStyle w:val="Heading2"/>
      </w:pPr>
      <w:r>
        <w:t xml:space="preserve">4. Research Objectives</w:t>
      </w:r>
    </w:p>
    <w:p>
      <w:pPr>
        <w:numPr>
          <w:ilvl w:val="0"/>
          <w:numId w:val="1001"/>
        </w:numPr>
        <w:pStyle w:val="Compact"/>
      </w:pPr>
      <w:r>
        <w:t xml:space="preserve">To develop a Chef implementation framework validated against Kuwaiti regulatory requirements (CBK, KSA standards, and Kuwait Data Protection Law).</w:t>
      </w:r>
    </w:p>
    <w:p>
      <w:pPr>
        <w:numPr>
          <w:ilvl w:val="0"/>
          <w:numId w:val="1001"/>
        </w:numPr>
        <w:pStyle w:val="Compact"/>
      </w:pPr>
      <w:r>
        <w:t xml:space="preserve">To quantify operational savings (reduced downtime, labor costs) for 3 pilot organizations in Kuwait City across finance, energy, and public services sectors.</w:t>
      </w:r>
    </w:p>
    <w:p>
      <w:pPr>
        <w:numPr>
          <w:ilvl w:val="0"/>
          <w:numId w:val="1001"/>
        </w:numPr>
        <w:pStyle w:val="Compact"/>
      </w:pPr>
      <w:r>
        <w:t xml:space="preserve">To create a culturally adapted Chef training curriculum for IT teams in Kuwait City addressing language (Arabic/English bilingual support) and regional infrastructure nuances.</w:t>
      </w:r>
    </w:p>
    <w:p>
      <w:pPr>
        <w:numPr>
          <w:ilvl w:val="0"/>
          <w:numId w:val="1001"/>
        </w:numPr>
        <w:pStyle w:val="Compact"/>
      </w:pPr>
      <w:r>
        <w:t xml:space="preserve">To establish a Chef-based disaster recovery protocol tested against Kuwait City’s climate-related risks (sandstorms, 50°C+ temperatures).</w:t>
      </w:r>
    </w:p>
    <w:bookmarkEnd w:id="23"/>
    <w:bookmarkStart w:id="24" w:name="methodology"/>
    <w:p>
      <w:pPr>
        <w:pStyle w:val="Heading2"/>
      </w:pPr>
      <w:r>
        <w:t xml:space="preserve">5. Methodology</w:t>
      </w:r>
    </w:p>
    <w:p>
      <w:pPr>
        <w:pStyle w:val="FirstParagraph"/>
      </w:pPr>
      <w:r>
        <w:t xml:space="preserve">This mixed-methods research combines quantitative analysis with qualitative stakeholder engagement across Kuwait City. The phased approach includes:</w:t>
      </w:r>
    </w:p>
    <w:p>
      <w:pPr>
        <w:numPr>
          <w:ilvl w:val="0"/>
          <w:numId w:val="1002"/>
        </w:numPr>
        <w:pStyle w:val="Compact"/>
      </w:pPr>
      <w:r>
        <w:rPr>
          <w:bCs/>
          <w:b/>
        </w:rPr>
        <w:t xml:space="preserve">Phase 1: Baseline Assessment (Months 1-3)</w:t>
      </w:r>
      <w:r>
        <w:t xml:space="preserve"> </w:t>
      </w:r>
      <w:r>
        <w:t xml:space="preserve">– Audit existing infrastructure at 5 Kuwait City organizations (e.g., Gulf Bank, Mubarak Al-Kabeer Hospital). Map current configuration management gaps against Chef’s capability matrix.</w:t>
      </w:r>
    </w:p>
    <w:p>
      <w:pPr>
        <w:numPr>
          <w:ilvl w:val="0"/>
          <w:numId w:val="1002"/>
        </w:numPr>
        <w:pStyle w:val="Compact"/>
      </w:pPr>
      <w:r>
        <w:rPr>
          <w:bCs/>
          <w:b/>
        </w:rPr>
        <w:t xml:space="preserve">Phase 2: Framework Development (Months 4-6)</w:t>
      </w:r>
      <w:r>
        <w:t xml:space="preserve"> </w:t>
      </w:r>
      <w:r>
        <w:t xml:space="preserve">– Customize Chef cookbooks for Kuwait-specific compliance. Integrate with local systems like Kuwait National Digital Identity and Smart City APIs. Validate in collaboration with the Ministry of Communications’ IT division.</w:t>
      </w:r>
    </w:p>
    <w:p>
      <w:pPr>
        <w:numPr>
          <w:ilvl w:val="0"/>
          <w:numId w:val="1002"/>
        </w:numPr>
        <w:pStyle w:val="Compact"/>
      </w:pPr>
      <w:r>
        <w:rPr>
          <w:bCs/>
          <w:b/>
        </w:rPr>
        <w:t xml:space="preserve">Phase 3: Pilot Deployment (Months 7-10)</w:t>
      </w:r>
      <w:r>
        <w:t xml:space="preserve"> </w:t>
      </w:r>
      <w:r>
        <w:t xml:space="preserve">– Implement Chef across pilot environments, measuring metrics: deployment speed, error rates, compliance adherence. Conduct workshops with Kuwaiti IT teams at KISR (Kuwait Institute for Scientific Research) and Kuwait University.</w:t>
      </w:r>
    </w:p>
    <w:p>
      <w:pPr>
        <w:numPr>
          <w:ilvl w:val="0"/>
          <w:numId w:val="1002"/>
        </w:numPr>
        <w:pStyle w:val="Compact"/>
      </w:pPr>
      <w:r>
        <w:rPr>
          <w:bCs/>
          <w:b/>
        </w:rPr>
        <w:t xml:space="preserve">Phase 4: Impact Analysis (Months 11-12)</w:t>
      </w:r>
      <w:r>
        <w:t xml:space="preserve"> </w:t>
      </w:r>
      <w:r>
        <w:t xml:space="preserve">– Analyze data against KPIs; develop ROI model showing savings versus traditional methods. Finalize the</w:t>
      </w:r>
      <w:r>
        <w:t xml:space="preserve"> </w:t>
      </w:r>
      <w:r>
        <w:rPr>
          <w:iCs/>
          <w:i/>
        </w:rPr>
        <w:t xml:space="preserve">"Chef for Kuwait City" Implementation Guide."</w:t>
      </w:r>
    </w:p>
    <w:bookmarkEnd w:id="24"/>
    <w:bookmarkStart w:id="25" w:name="expected-outcomes-and-benefits"/>
    <w:p>
      <w:pPr>
        <w:pStyle w:val="Heading2"/>
      </w:pPr>
      <w:r>
        <w:t xml:space="preserve">6. Expected Outcomes and Benefits</w:t>
      </w:r>
    </w:p>
    <w:p>
      <w:pPr>
        <w:pStyle w:val="FirstParagraph"/>
      </w:pPr>
      <w:r>
        <w:t xml:space="preserve">This Research Proposal anticipates transformative outcomes for Kuwait City enterprises:</w:t>
      </w:r>
    </w:p>
    <w:p>
      <w:pPr>
        <w:numPr>
          <w:ilvl w:val="0"/>
          <w:numId w:val="1003"/>
        </w:numPr>
        <w:pStyle w:val="Compact"/>
      </w:pPr>
      <w:r>
        <w:rPr>
          <w:bCs/>
          <w:b/>
        </w:rPr>
        <w:t xml:space="preserve">Cost Reduction</w:t>
      </w:r>
      <w:r>
        <w:t xml:space="preserve">: 40-60% lower infrastructure operational costs by eliminating manual configuration (based on Chef’s global client data adapted to Gulf labor rates).</w:t>
      </w:r>
    </w:p>
    <w:p>
      <w:pPr>
        <w:numPr>
          <w:ilvl w:val="0"/>
          <w:numId w:val="1003"/>
        </w:numPr>
        <w:pStyle w:val="Compact"/>
      </w:pPr>
      <w:r>
        <w:rPr>
          <w:bCs/>
          <w:b/>
        </w:rPr>
        <w:t xml:space="preserve">Regulatory Alignment</w:t>
      </w:r>
      <w:r>
        <w:t xml:space="preserve">: Automated compliance with Kuwaiti regulations through policy-as-code, reducing audit preparation time from weeks to hours.</w:t>
      </w:r>
    </w:p>
    <w:p>
      <w:pPr>
        <w:numPr>
          <w:ilvl w:val="0"/>
          <w:numId w:val="1003"/>
        </w:numPr>
        <w:pStyle w:val="Compact"/>
      </w:pPr>
      <w:r>
        <w:rPr>
          <w:bCs/>
          <w:b/>
        </w:rPr>
        <w:t xml:space="preserve">Scalability for National Projects</w:t>
      </w:r>
      <w:r>
        <w:t xml:space="preserve">: Enable seamless support for Kuwait City’s smart city initiatives (e.g., 5G rollout, Al-Khafji project) requiring rapid infrastructure scaling.</w:t>
      </w:r>
    </w:p>
    <w:p>
      <w:pPr>
        <w:numPr>
          <w:ilvl w:val="0"/>
          <w:numId w:val="1003"/>
        </w:numPr>
        <w:pStyle w:val="Compact"/>
      </w:pPr>
      <w:r>
        <w:rPr>
          <w:bCs/>
          <w:b/>
        </w:rPr>
        <w:t xml:space="preserve">Talent Development</w:t>
      </w:r>
      <w:r>
        <w:t xml:space="preserve">: Cultivate local Chef-certified IT professionals through partnerships with the Kuwait Vocational Training Center, addressing regional talent gaps.</w:t>
      </w:r>
    </w:p>
    <w:bookmarkEnd w:id="25"/>
    <w:bookmarkStart w:id="26" w:name="contextual-relevance-to-kuwait-city"/>
    <w:p>
      <w:pPr>
        <w:pStyle w:val="Heading2"/>
      </w:pPr>
      <w:r>
        <w:t xml:space="preserve">7. Contextual Relevance to Kuwait City</w:t>
      </w:r>
    </w:p>
    <w:p>
      <w:pPr>
        <w:pStyle w:val="FirstParagraph"/>
      </w:pPr>
      <w:r>
        <w:t xml:space="preserve">Kuwait City’s unique challenges necessitate localized automation solutions: High humidity requires server cooling adaptations; the 8-hour workday during summer months demands optimized deployment windows; and Gulf-specific supply chains affect hardware refresh cycles. Chef’s infrastructure-as-code model directly addresses these through:</w:t>
      </w:r>
    </w:p>
    <w:p>
      <w:pPr>
        <w:numPr>
          <w:ilvl w:val="0"/>
          <w:numId w:val="1004"/>
        </w:numPr>
        <w:pStyle w:val="Compact"/>
      </w:pPr>
      <w:r>
        <w:t xml:space="preserve">Climate-adaptive configurations (e.g., auto-adjusted cooling thresholds in Kuwait City data centers).</w:t>
      </w:r>
    </w:p>
    <w:p>
      <w:pPr>
        <w:numPr>
          <w:ilvl w:val="0"/>
          <w:numId w:val="1004"/>
        </w:numPr>
        <w:pStyle w:val="Compact"/>
      </w:pPr>
      <w:r>
        <w:t xml:space="preserve">Arabic-language documentation for end-user support teams across Kuwait City government entities.</w:t>
      </w:r>
    </w:p>
    <w:p>
      <w:pPr>
        <w:numPr>
          <w:ilvl w:val="0"/>
          <w:numId w:val="1004"/>
        </w:numPr>
        <w:pStyle w:val="Compact"/>
      </w:pPr>
      <w:r>
        <w:t xml:space="preserve">Integration with local payment gateways (e.g., Mada) for automated compliance in financial deployments.</w:t>
      </w:r>
    </w:p>
    <w:bookmarkEnd w:id="26"/>
    <w:bookmarkStart w:id="27" w:name="timeline-and-deliverables"/>
    <w:p>
      <w:pPr>
        <w:pStyle w:val="Heading2"/>
      </w:pPr>
      <w:r>
        <w:t xml:space="preserve">8. Timeline and Deliverables</w:t>
      </w:r>
    </w:p>
    <w:p>
      <w:pPr>
        <w:pStyle w:val="FirstParagraph"/>
      </w:pPr>
      <w:r>
        <w:t xml:space="preserve">The 12-month Research Proposal timeline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Kuwait City Focus Area</w:t>
            </w:r>
          </w:p>
        </w:tc>
      </w:tr>
      <w:tr>
        <w:tc>
          <w:tcPr/>
          <w:p>
            <w:pPr>
              <w:pStyle w:val="Compact"/>
              <w:jc w:val="left"/>
            </w:pPr>
            <w:r>
              <w:t xml:space="preserve">Months 1-3</w:t>
            </w:r>
          </w:p>
        </w:tc>
        <w:tc>
          <w:tcPr/>
          <w:p>
            <w:pPr>
              <w:pStyle w:val="Compact"/>
              <w:jc w:val="left"/>
            </w:pPr>
            <w:r>
              <w:t xml:space="preserve">National Infrastructure Gap Report; Stakeholder Workshop Series (Kuwait City)</w:t>
            </w:r>
          </w:p>
        </w:tc>
        <w:tc>
          <w:tcPr/>
          <w:p>
            <w:pPr>
              <w:pStyle w:val="Compact"/>
              <w:jc w:val="left"/>
            </w:pPr>
            <w:r>
              <w:t xml:space="preserve">Regulatory mapping with Central Bank of Kuwait officials</w:t>
            </w:r>
          </w:p>
        </w:tc>
      </w:tr>
      <w:tr>
        <w:tc>
          <w:tcPr/>
          <w:p>
            <w:pPr>
              <w:pStyle w:val="Compact"/>
              <w:jc w:val="left"/>
            </w:pPr>
            <w:r>
              <w:t xml:space="preserve">Months 4-6</w:t>
            </w:r>
          </w:p>
        </w:tc>
        <w:tc>
          <w:tcPr/>
          <w:p>
            <w:pPr>
              <w:pStyle w:val="Compact"/>
              <w:jc w:val="left"/>
            </w:pPr>
            <w:r>
              <w:t xml:space="preserve">Chef Compliance Framework for Kuwaiti Standards; Bilingual Training Modules</w:t>
            </w:r>
          </w:p>
        </w:tc>
        <w:tc>
          <w:tcPr/>
          <w:p>
            <w:pPr>
              <w:pStyle w:val="Compact"/>
              <w:jc w:val="left"/>
            </w:pPr>
            <w:r>
              <w:t xml:space="preserve">Kuwait City Tech Park (Al-Sulaibiya) pilot site setup</w:t>
            </w:r>
          </w:p>
        </w:tc>
      </w:tr>
      <w:tr>
        <w:tc>
          <w:tcPr/>
          <w:p>
            <w:pPr>
              <w:pStyle w:val="Compact"/>
              <w:jc w:val="left"/>
            </w:pPr>
            <w:r>
              <w:t xml:space="preserve">Months 7-10</w:t>
            </w:r>
          </w:p>
        </w:tc>
        <w:tc>
          <w:tcPr/>
          <w:p>
            <w:pPr>
              <w:pStyle w:val="Compact"/>
              <w:jc w:val="left"/>
            </w:pPr>
            <w:r>
              <w:t xml:space="preserve">Pilot Deployment Report; ROI Calculator for Kuwaiti Enterprises</w:t>
            </w:r>
          </w:p>
        </w:tc>
        <w:tc>
          <w:tcPr/>
          <w:p>
            <w:pPr>
              <w:pStyle w:val="Compact"/>
              <w:jc w:val="left"/>
            </w:pPr>
            <w:r>
              <w:t xml:space="preserve">Integration with Kuwait National Grid and Al-Muhasanah data centers</w:t>
            </w:r>
          </w:p>
        </w:tc>
      </w:tr>
    </w:tbl>
    <w:bookmarkEnd w:id="27"/>
    <w:bookmarkStart w:id="28" w:name="X798a55b6abf567a0f374b44efaa9de22ca6dd79"/>
    <w:p>
      <w:pPr>
        <w:pStyle w:val="Heading2"/>
      </w:pPr>
      <w:r>
        <w:t xml:space="preserve">9. Conclusion: Charting Kuwait City’s IT Future</w:t>
      </w:r>
    </w:p>
    <w:p>
      <w:pPr>
        <w:pStyle w:val="FirstParagraph"/>
      </w:pPr>
      <w:r>
        <w:t xml:space="preserve">This Research Proposal establishes Chef not merely as a technical tool, but as a strategic enabler for Kuwait City’s digital sovereignty. By embedding Chef within the operational fabric of Kuwaiti organizations—addressing cultural, regulatory, and environmental specifics—we position the city to lead in MENA’s automation revolution. The outcomes will provide a replicable model for other Gulf cities while directly supporting Kuwait Vision 2035’s goals for a knowledge-based economy. Crucially, this initiative transcends IT efficiency; it builds local expertise that turns Kuwait City into an innovation hub where Chef-powered infrastructure becomes synonymous with reliable, future-ready service delivery across all sectors of the nation.</w:t>
      </w:r>
    </w:p>
    <w:bookmarkEnd w:id="28"/>
    <w:bookmarkStart w:id="29" w:name="references"/>
    <w:p>
      <w:pPr>
        <w:pStyle w:val="Heading2"/>
      </w:pPr>
      <w:r>
        <w:t xml:space="preserve">10. References</w:t>
      </w:r>
    </w:p>
    <w:p>
      <w:pPr>
        <w:pStyle w:val="FirstParagraph"/>
      </w:pPr>
      <w:r>
        <w:t xml:space="preserve">Kuwait Central Bank (2023). *Cybersecurity Guidelines for Financial Institutions*. Kuwait City: CBN Publications.</w:t>
      </w:r>
      <w:r>
        <w:br/>
      </w:r>
      <w:r>
        <w:t xml:space="preserve">Gulf Business Review (2023). *MENA IT Infrastructure Automation Report*. Dubai: Global Insights Press.</w:t>
      </w:r>
      <w:r>
        <w:br/>
      </w:r>
      <w:r>
        <w:t xml:space="preserve">Chef Software Inc. (2024). *Chef Enterprise Compliance Framework*. San Francisco: Chef Technology Whitepaper.</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Kuwait City</dc:title>
  <dc:creator/>
  <dc:language>en</dc:language>
  <cp:keywords/>
  <dcterms:created xsi:type="dcterms:W3CDTF">2026-07-19T10:04:51Z</dcterms:created>
  <dcterms:modified xsi:type="dcterms:W3CDTF">2026-07-19T10:04:51Z</dcterms:modified>
</cp:coreProperties>
</file>

<file path=docProps/custom.xml><?xml version="1.0" encoding="utf-8"?>
<Properties xmlns="http://schemas.openxmlformats.org/officeDocument/2006/custom-properties" xmlns:vt="http://schemas.openxmlformats.org/officeDocument/2006/docPropsVTypes"/>
</file>