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p>
    <w:bookmarkStart w:id="30" w:name="X0ed99413bedd1c119633b53c33d30a0053c7237"/>
    <w:p>
      <w:pPr>
        <w:pStyle w:val="Heading1"/>
      </w:pPr>
      <w:r>
        <w:t xml:space="preserve">Research Proposal: Implementing Chef for Infrastructure Automation in Netherlands Amsterdam</w:t>
      </w:r>
    </w:p>
    <w:bookmarkStart w:id="20" w:name="introduction-and-background"/>
    <w:p>
      <w:pPr>
        <w:pStyle w:val="Heading2"/>
      </w:pPr>
      <w:r>
        <w:t xml:space="preserve">1. Introduction and Background</w:t>
      </w:r>
    </w:p>
    <w:p>
      <w:pPr>
        <w:pStyle w:val="FirstParagraph"/>
      </w:pPr>
      <w:r>
        <w:t xml:space="preserve">This Research Proposal examines the strategic implementation of</w:t>
      </w:r>
      <w:r>
        <w:t xml:space="preserve"> </w:t>
      </w:r>
      <w:r>
        <w:rPr>
          <w:bCs/>
          <w:b/>
        </w:rPr>
        <w:t xml:space="preserve">Chef</w:t>
      </w:r>
      <w:r>
        <w:t xml:space="preserve">, a leading configuration management and infrastructure automation platform, within the dynamic IT landscape of</w:t>
      </w:r>
      <w:r>
        <w:t xml:space="preserve"> </w:t>
      </w:r>
      <w:r>
        <w:rPr>
          <w:bCs/>
          <w:b/>
        </w:rPr>
        <w:t xml:space="preserve">Netherlands Amsterdam</w:t>
      </w:r>
      <w:r>
        <w:t xml:space="preserve">. As Amsterdam solidifies its position as Europe’s premier digital hub for startups, scale-ups, and multinational corporations, organizations face escalating challenges in managing complex, cloud-native infrastructures while adhering to stringent European regulations such as GDPR. Traditional manual configuration methods are proving unsustainable for agile development cycles and rapid scaling demands. This study proposes Chef as the optimal solution to unify infrastructure management across Amsterdam-based enterprises, addressing critical needs for compliance, efficiency, and resilience.</w:t>
      </w:r>
    </w:p>
    <w:bookmarkEnd w:id="20"/>
    <w:bookmarkStart w:id="21" w:name="problem-statement"/>
    <w:p>
      <w:pPr>
        <w:pStyle w:val="Heading2"/>
      </w:pPr>
      <w:r>
        <w:t xml:space="preserve">2. Problem Statement</w:t>
      </w:r>
    </w:p>
    <w:p>
      <w:pPr>
        <w:pStyle w:val="FirstParagraph"/>
      </w:pPr>
      <w:r>
        <w:t xml:space="preserve">Amsterdam’s tech ecosystem—including major players like Booking.com, Adyen, and a thriving startup scene—operates in a high-stakes environment where downtime incurs significant financial and reputational costs. Current infrastructure management practices in many Amsterdam organizations rely on fragmented scripts and ad-hoc processes. This leads to: (1) inconsistent deployments violating GDPR data localization requirements; (2) prolonged time-to-market for new services; and (3) increased security vulnerabilities due to human error. A</w:t>
      </w:r>
      <w:r>
        <w:t xml:space="preserve"> </w:t>
      </w:r>
      <w:r>
        <w:rPr>
          <w:bCs/>
          <w:b/>
        </w:rPr>
        <w:t xml:space="preserve">Research Proposal</w:t>
      </w:r>
      <w:r>
        <w:t xml:space="preserve"> </w:t>
      </w:r>
      <w:r>
        <w:t xml:space="preserve">focused on Chef is urgently needed to quantify its impact on operational excellence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Chef’s efficacy in automating GDPR-compliant infrastructure configurations for Amsterdam-based organizations handling EU citizen data.</w:t>
      </w:r>
    </w:p>
    <w:p>
      <w:pPr>
        <w:numPr>
          <w:ilvl w:val="0"/>
          <w:numId w:val="1001"/>
        </w:numPr>
        <w:pStyle w:val="Compact"/>
      </w:pPr>
      <w:r>
        <w:t xml:space="preserve">To measure time-to-deployment reduction and cost savings when implementing Chef versus legacy methods in the Netherlands’ cloud ecosystem (AWS, Azure, GCP).</w:t>
      </w:r>
    </w:p>
    <w:p>
      <w:pPr>
        <w:numPr>
          <w:ilvl w:val="0"/>
          <w:numId w:val="1001"/>
        </w:numPr>
        <w:pStyle w:val="Compact"/>
      </w:pPr>
      <w:r>
        <w:t xml:space="preserve">To assess Chef’s adaptability to Amsterdam’s unique business culture—prioritizing collaboration, sustainability (aligned with the Amsterdam Climate Action Plan), and multilingual support.</w:t>
      </w:r>
    </w:p>
    <w:p>
      <w:pPr>
        <w:numPr>
          <w:ilvl w:val="0"/>
          <w:numId w:val="1001"/>
        </w:numPr>
        <w:pStyle w:val="Compact"/>
      </w:pPr>
      <w:r>
        <w:t xml:space="preserve">To develop a tailored adoption roadmap for Chef in the</w:t>
      </w:r>
      <w:r>
        <w:t xml:space="preserve"> </w:t>
      </w:r>
      <w:r>
        <w:rPr>
          <w:bCs/>
          <w:b/>
        </w:rPr>
        <w:t xml:space="preserve">Netherlands Amsterdam</w:t>
      </w:r>
      <w:r>
        <w:t xml:space="preserve"> </w:t>
      </w:r>
      <w:r>
        <w:t xml:space="preserve">enterprise sector, including training frameworks and vendor partnerships.</w:t>
      </w:r>
    </w:p>
    <w:bookmarkEnd w:id="22"/>
    <w:bookmarkStart w:id="23" w:name="methodology"/>
    <w:p>
      <w:pPr>
        <w:pStyle w:val="Heading2"/>
      </w:pPr>
      <w:r>
        <w:t xml:space="preserve">4. Methodology</w:t>
      </w:r>
    </w:p>
    <w:p>
      <w:pPr>
        <w:pStyle w:val="FirstParagraph"/>
      </w:pPr>
      <w:r>
        <w:t xml:space="preserve">This mixed-methods study combines quantitative analysis with qualitative stakeholder engagement:</w:t>
      </w:r>
    </w:p>
    <w:p>
      <w:pPr>
        <w:numPr>
          <w:ilvl w:val="0"/>
          <w:numId w:val="1002"/>
        </w:numPr>
        <w:pStyle w:val="Compact"/>
      </w:pPr>
      <w:r>
        <w:rPr>
          <w:iCs/>
          <w:i/>
        </w:rPr>
        <w:t xml:space="preserve">Quantitative Phase:</w:t>
      </w:r>
      <w:r>
        <w:t xml:space="preserve"> </w:t>
      </w:r>
      <w:r>
        <w:t xml:space="preserve">Partner with 5 Amsterdam-based enterprises (fintech, e-commerce, SaaS) to deploy Chef across 30+ services. Metrics include deployment frequency (changes/week), infrastructure provisioning time (hours → minutes), and compliance audit scores pre/post-implementation.</w:t>
      </w:r>
    </w:p>
    <w:p>
      <w:pPr>
        <w:numPr>
          <w:ilvl w:val="0"/>
          <w:numId w:val="1002"/>
        </w:numPr>
        <w:pStyle w:val="Compact"/>
      </w:pPr>
      <w:r>
        <w:rPr>
          <w:iCs/>
          <w:i/>
        </w:rPr>
        <w:t xml:space="preserve">Qualitative Phase:</w:t>
      </w:r>
      <w:r>
        <w:t xml:space="preserve"> </w:t>
      </w:r>
      <w:r>
        <w:t xml:space="preserve">Conduct 15 semi-structured interviews with DevOps leads, security officers, and IT managers at Amsterdam organizations. Focus areas: cultural fit of Chef’s workflow, challenges in Dutch regulatory alignment, and team adoption barriers.</w:t>
      </w:r>
    </w:p>
    <w:p>
      <w:pPr>
        <w:numPr>
          <w:ilvl w:val="0"/>
          <w:numId w:val="1002"/>
        </w:numPr>
        <w:pStyle w:val="Compact"/>
      </w:pPr>
      <w:r>
        <w:rPr>
          <w:iCs/>
          <w:i/>
        </w:rPr>
        <w:t xml:space="preserve">Comparative Analysis:</w:t>
      </w:r>
      <w:r>
        <w:t xml:space="preserve"> </w:t>
      </w:r>
      <w:r>
        <w:t xml:space="preserve">Benchmark Chef against alternatives (Terraform, Ansible) using Netherlands-specific criteria: GDPR data residency support, local technical talent availability (Amsterdam has 12% of Netherlands’ IT workforce), and integration with Dutch cloud providers like Scaleway.</w:t>
      </w:r>
    </w:p>
    <w:bookmarkEnd w:id="23"/>
    <w:bookmarkStart w:id="24" w:name="significance-for-netherlands-amsterdam"/>
    <w:p>
      <w:pPr>
        <w:pStyle w:val="Heading2"/>
      </w:pPr>
      <w:r>
        <w:t xml:space="preserve">5. Significance for Netherlands Amsterdam</w:t>
      </w:r>
    </w:p>
    <w:p>
      <w:pPr>
        <w:pStyle w:val="FirstParagraph"/>
      </w:pPr>
      <w:r>
        <w:t xml:space="preserve">The adoption of</w:t>
      </w:r>
      <w:r>
        <w:t xml:space="preserve"> </w:t>
      </w:r>
      <w:r>
        <w:rPr>
          <w:bCs/>
          <w:b/>
        </w:rPr>
        <w:t xml:space="preserve">Chef</w:t>
      </w:r>
      <w:r>
        <w:t xml:space="preserve"> </w:t>
      </w:r>
      <w:r>
        <w:t xml:space="preserve">directly addresses Amsterdam’s strategic goals as a Smart City leader. By automating infrastructure, organizations reduce energy consumption (aligning with the city’s "Green Deal" targets) and accelerate innovation cycles essential for competing globally. Crucially, Chef’s role-based access controls (RBAC) simplify GDPR compliance—automatically ensuring data remains within EU boundaries as mandated by Dutch Data Protection Authority (AP). This</w:t>
      </w:r>
      <w:r>
        <w:t xml:space="preserve"> </w:t>
      </w:r>
      <w:r>
        <w:rPr>
          <w:bCs/>
          <w:b/>
        </w:rPr>
        <w:t xml:space="preserve">Research Proposal</w:t>
      </w:r>
      <w:r>
        <w:t xml:space="preserve"> </w:t>
      </w:r>
      <w:r>
        <w:t xml:space="preserve">will generate actionable insights for the Amsterdam Chamber of Commerce and Digital Delta, positioning</w:t>
      </w:r>
      <w:r>
        <w:t xml:space="preserve"> </w:t>
      </w:r>
      <w:r>
        <w:rPr>
          <w:bCs/>
          <w:b/>
        </w:rPr>
        <w:t xml:space="preserve">Netherlands Amsterdam</w:t>
      </w:r>
      <w:r>
        <w:t xml:space="preserve"> </w:t>
      </w:r>
      <w:r>
        <w:t xml:space="preserve">as a pioneer in scalable, ethical cloud operations.</w:t>
      </w:r>
    </w:p>
    <w:bookmarkEnd w:id="24"/>
    <w:bookmarkStart w:id="25" w:name="expected-outcomes-and-deliverables"/>
    <w:p>
      <w:pPr>
        <w:pStyle w:val="Heading2"/>
      </w:pPr>
      <w:r>
        <w:t xml:space="preserve">6. Expected Outcomes and Deliverables</w:t>
      </w:r>
    </w:p>
    <w:p>
      <w:pPr>
        <w:numPr>
          <w:ilvl w:val="0"/>
          <w:numId w:val="1003"/>
        </w:numPr>
        <w:pStyle w:val="Compact"/>
      </w:pPr>
      <w:r>
        <w:t xml:space="preserve">A comprehensive adoption framework tailored for Dutch enterprises, including GDPR-specific cookbooks (e.g., "GDPR-Compliant Data Encryption Cookbooks").</w:t>
      </w:r>
    </w:p>
    <w:p>
      <w:pPr>
        <w:numPr>
          <w:ilvl w:val="0"/>
          <w:numId w:val="1003"/>
        </w:numPr>
        <w:pStyle w:val="Compact"/>
      </w:pPr>
      <w:r>
        <w:t xml:space="preserve">ROI model quantifying cost savings: Estimated 40% reduction in infrastructure management costs within 18 months of Chef implementation.</w:t>
      </w:r>
    </w:p>
    <w:p>
      <w:pPr>
        <w:numPr>
          <w:ilvl w:val="0"/>
          <w:numId w:val="1003"/>
        </w:numPr>
        <w:pStyle w:val="Compact"/>
      </w:pPr>
      <w:r>
        <w:t xml:space="preserve">Training curriculum co-developed with Amsterdam’s Tech Academy, emphasizing Dutch language support for documentation and tooling.</w:t>
      </w:r>
    </w:p>
    <w:p>
      <w:pPr>
        <w:numPr>
          <w:ilvl w:val="0"/>
          <w:numId w:val="1003"/>
        </w:numPr>
        <w:pStyle w:val="Compact"/>
      </w:pPr>
      <w:r>
        <w:t xml:space="preserve">A public repository of Chef cookbooks optimized for Amsterdam’s cloud infrastructure stack (e.g., Azure Netherlands Region).</w:t>
      </w:r>
    </w:p>
    <w:bookmarkEnd w:id="25"/>
    <w:bookmarkStart w:id="26" w:name="ethical-considerations-and-compliance"/>
    <w:p>
      <w:pPr>
        <w:pStyle w:val="Heading2"/>
      </w:pPr>
      <w:r>
        <w:t xml:space="preserve">7. Ethical Considerations and Compliance</w:t>
      </w:r>
    </w:p>
    <w:p>
      <w:pPr>
        <w:pStyle w:val="FirstParagraph"/>
      </w:pPr>
      <w:r>
        <w:t xml:space="preserve">This research strictly adheres to Dutch ethical guidelines (WMO) and GDPR principles. All data collected from Amsterdam organizations will be anonymized, with consent obtained per Article 6 of GDPR. The study will prioritize transparency in how Chef handles sensitive data—ensuring configurations never store personal information unencrypted. Collaboration with the Netherlands Data Protection Authority is secured to validate compliance methodologies.</w:t>
      </w:r>
    </w:p>
    <w:bookmarkEnd w:id="26"/>
    <w:bookmarkStart w:id="27" w:name="timeline-and-resources"/>
    <w:p>
      <w:pPr>
        <w:pStyle w:val="Heading2"/>
      </w:pPr>
      <w:r>
        <w:t xml:space="preserve">8. Timeline and Resources</w:t>
      </w:r>
    </w:p>
    <w:p>
      <w:pPr>
        <w:pStyle w:val="FirstParagraph"/>
      </w:pPr>
      <w:r>
        <w:t xml:space="preserve">Conducted over 14 months within the</w:t>
      </w:r>
      <w:r>
        <w:t xml:space="preserve"> </w:t>
      </w:r>
      <w:r>
        <w:rPr>
          <w:bCs/>
          <w:b/>
        </w:rPr>
        <w:t xml:space="preserve">Netherlands Amsterdam</w:t>
      </w:r>
      <w:r>
        <w:t xml:space="preserve"> </w:t>
      </w:r>
      <w:r>
        <w:t xml:space="preserve">ecosystem:</w:t>
      </w:r>
    </w:p>
    <w:p>
      <w:pPr>
        <w:numPr>
          <w:ilvl w:val="0"/>
          <w:numId w:val="1004"/>
        </w:numPr>
        <w:pStyle w:val="Compact"/>
      </w:pPr>
      <w:r>
        <w:rPr>
          <w:bCs/>
          <w:b/>
        </w:rPr>
        <w:t xml:space="preserve">Months 1-3:</w:t>
      </w:r>
      <w:r>
        <w:t xml:space="preserve"> </w:t>
      </w:r>
      <w:r>
        <w:t xml:space="preserve">Partner recruitment (Amsterdam tech clusters), ethical approval, tool setup.</w:t>
      </w:r>
    </w:p>
    <w:p>
      <w:pPr>
        <w:numPr>
          <w:ilvl w:val="0"/>
          <w:numId w:val="1004"/>
        </w:numPr>
        <w:pStyle w:val="Compact"/>
      </w:pPr>
      <w:r>
        <w:rPr>
          <w:bCs/>
          <w:b/>
        </w:rPr>
        <w:t xml:space="preserve">Months 4-9:</w:t>
      </w:r>
      <w:r>
        <w:t xml:space="preserve"> </w:t>
      </w:r>
      <w:r>
        <w:t xml:space="preserve">Quantitative deployment, data collection, and stakeholder interviews.</w:t>
      </w:r>
    </w:p>
    <w:p>
      <w:pPr>
        <w:numPr>
          <w:ilvl w:val="0"/>
          <w:numId w:val="1004"/>
        </w:numPr>
        <w:pStyle w:val="Compact"/>
      </w:pPr>
      <w:r>
        <w:rPr>
          <w:bCs/>
          <w:b/>
        </w:rPr>
        <w:t xml:space="preserve">Months 10-12:</w:t>
      </w:r>
      <w:r>
        <w:t xml:space="preserve"> </w:t>
      </w:r>
      <w:r>
        <w:t xml:space="preserve">Analysis, framework development, and validation with Dutch industry bodies (e.g., Nederland ICT).</w:t>
      </w:r>
    </w:p>
    <w:p>
      <w:pPr>
        <w:numPr>
          <w:ilvl w:val="0"/>
          <w:numId w:val="1004"/>
        </w:numPr>
        <w:pStyle w:val="Compact"/>
      </w:pPr>
      <w:r>
        <w:rPr>
          <w:bCs/>
          <w:b/>
        </w:rPr>
        <w:t xml:space="preserve">Months 13-14:</w:t>
      </w:r>
      <w:r>
        <w:t xml:space="preserve"> </w:t>
      </w:r>
      <w:r>
        <w:t xml:space="preserve">Final report delivery to Amsterdam Economic Board and public dissemination.</w:t>
      </w:r>
    </w:p>
    <w:p>
      <w:pPr>
        <w:pStyle w:val="FirstParagraph"/>
      </w:pPr>
      <w:r>
        <w:t xml:space="preserve">Budget allocation prioritizes local partnerships: 60% for Amsterdam-based enterprise collaboration, 25% for Chef licensing/technical support, and 15% for Dutch-language training materials.</w:t>
      </w:r>
    </w:p>
    <w:bookmarkEnd w:id="27"/>
    <w:bookmarkStart w:id="28" w:name="conclusion"/>
    <w:p>
      <w:pPr>
        <w:pStyle w:val="Heading2"/>
      </w:pPr>
      <w:r>
        <w:t xml:space="preserve">9. Conclusion</w:t>
      </w:r>
    </w:p>
    <w:p>
      <w:pPr>
        <w:pStyle w:val="FirstParagraph"/>
      </w:pPr>
      <w:r>
        <w:t xml:space="preserve">This Research Proposal establishes Chef as a transformative solution for infrastructure automation in the heart of Europe’s digital economy—</w:t>
      </w:r>
      <w:r>
        <w:rPr>
          <w:bCs/>
          <w:b/>
        </w:rPr>
        <w:t xml:space="preserve">Netherlands Amsterdam</w:t>
      </w:r>
      <w:r>
        <w:t xml:space="preserve">. By addressing the region’s unique regulatory, cultural, and operational demands, this study will deliver not just technical insights but a blueprint for sustainable IT excellence. The successful implementation of</w:t>
      </w:r>
      <w:r>
        <w:t xml:space="preserve"> </w:t>
      </w:r>
      <w:r>
        <w:rPr>
          <w:bCs/>
          <w:b/>
        </w:rPr>
        <w:t xml:space="preserve">Chef</w:t>
      </w:r>
      <w:r>
        <w:t xml:space="preserve"> </w:t>
      </w:r>
      <w:r>
        <w:t xml:space="preserve">promises to enhance Amsterdam’s competitiveness as a global tech leader while embedding ethical compliance into its infrastructure DNA. We seek collaboration from Amsterdam-based organizations and policymakers to advance this critical initiative, ensuring the</w:t>
      </w:r>
      <w:r>
        <w:t xml:space="preserve"> </w:t>
      </w:r>
      <w:r>
        <w:rPr>
          <w:bCs/>
          <w:b/>
        </w:rPr>
        <w:t xml:space="preserve">Netherlands Amsterdam</w:t>
      </w:r>
      <w:r>
        <w:t xml:space="preserve"> </w:t>
      </w:r>
      <w:r>
        <w:t xml:space="preserve">remains at the forefront of cloud innovation.</w:t>
      </w:r>
    </w:p>
    <w:bookmarkEnd w:id="28"/>
    <w:bookmarkStart w:id="29" w:name="references"/>
    <w:p>
      <w:pPr>
        <w:pStyle w:val="Heading2"/>
      </w:pPr>
      <w:r>
        <w:t xml:space="preserve">10. References</w:t>
      </w:r>
    </w:p>
    <w:p>
      <w:pPr>
        <w:numPr>
          <w:ilvl w:val="0"/>
          <w:numId w:val="1005"/>
        </w:numPr>
        <w:pStyle w:val="Compact"/>
      </w:pPr>
      <w:r>
        <w:t xml:space="preserve">Dutch Data Protection Authority (AP). (2023). *Guidelines on Data Processing in Cloud Environments*.</w:t>
      </w:r>
    </w:p>
    <w:p>
      <w:pPr>
        <w:numPr>
          <w:ilvl w:val="0"/>
          <w:numId w:val="1005"/>
        </w:numPr>
        <w:pStyle w:val="Compact"/>
      </w:pPr>
      <w:r>
        <w:t xml:space="preserve">Amsterdam Smart City. (2024). *Green IT Strategy Framework*.</w:t>
      </w:r>
    </w:p>
    <w:p>
      <w:pPr>
        <w:numPr>
          <w:ilvl w:val="0"/>
          <w:numId w:val="1005"/>
        </w:numPr>
        <w:pStyle w:val="Compact"/>
      </w:pPr>
      <w:r>
        <w:t xml:space="preserve">Chef Software, Inc. (2023). *Chef Compliance Cookbook Portfolio*.</w:t>
      </w:r>
    </w:p>
    <w:p>
      <w:pPr>
        <w:numPr>
          <w:ilvl w:val="0"/>
          <w:numId w:val="1005"/>
        </w:numPr>
        <w:pStyle w:val="Compact"/>
      </w:pPr>
      <w:r>
        <w:t xml:space="preserve">Netherlands Enterprise Agency. (2023). *Digital Tech Trends in Amsterdam*.</w:t>
      </w:r>
    </w:p>
    <w:p>
      <w:pPr>
        <w:pStyle w:val="FirstParagraph"/>
      </w:pPr>
      <w:r>
        <w:rPr>
          <w:iCs/>
          <w:i/>
        </w:rPr>
        <w:t xml:space="preserve">This Research Proposal is submitted to the Amsterdam Innovation Fund and the Dutch Ministry of Economic Affairs for endorsement. All content aligns with Netherlands’ strategic priorities for digital sovereignty and sustainable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Netherlands Amsterdam</dc:title>
  <dc:creator/>
  <dc:language>en</dc:language>
  <cp:keywords/>
  <dcterms:created xsi:type="dcterms:W3CDTF">2025-12-09T19:49:22Z</dcterms:created>
  <dcterms:modified xsi:type="dcterms:W3CDTF">2025-12-09T19:49:22Z</dcterms:modified>
</cp:coreProperties>
</file>

<file path=docProps/custom.xml><?xml version="1.0" encoding="utf-8"?>
<Properties xmlns="http://schemas.openxmlformats.org/officeDocument/2006/custom-properties" xmlns:vt="http://schemas.openxmlformats.org/officeDocument/2006/docPropsVTypes"/>
</file>