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Istanbul</w:t>
      </w:r>
    </w:p>
    <w:bookmarkStart w:id="31" w:name="X17b4821466f6e227f2c3e885567599ba5280872"/>
    <w:p>
      <w:pPr>
        <w:pStyle w:val="Heading1"/>
      </w:pPr>
      <w:r>
        <w:t xml:space="preserve">Research Proposal: Optimizing IT Infrastructure Management Through Chef Implementation in Turkey Istanbul</w:t>
      </w:r>
    </w:p>
    <w:bookmarkStart w:id="20" w:name="introduction"/>
    <w:p>
      <w:pPr>
        <w:pStyle w:val="Heading2"/>
      </w:pPr>
      <w:r>
        <w:t xml:space="preserve">1. Introduction</w:t>
      </w:r>
    </w:p>
    <w:p>
      <w:pPr>
        <w:pStyle w:val="FirstParagraph"/>
      </w:pPr>
      <w:r>
        <w:t xml:space="preserve">The digital transformation landscape of Turkey, particularly in its economic epicenter Istanbul, demands innovative approaches to IT infrastructure management. As businesses rapidly adopt cloud-native architectures and microservices, traditional manual configuration methods have become unsustainable. This Research Proposal investigates the strategic implementation of Chef—a leading open-source configuration management tool—as a catalyst for operational excellence across Turkish enterprises in Istanbul. With Turkey's IT sector projected to grow at 15% annually (Turkish Statistical Institute, 2023), adopting infrastructure-as-code practices through Chef represents a critical opportunity to enhance scalability, security, and cost-efficiency in one of the world's most dynamic tech hubs.</w:t>
      </w:r>
    </w:p>
    <w:bookmarkEnd w:id="20"/>
    <w:bookmarkStart w:id="21" w:name="problem-statement"/>
    <w:p>
      <w:pPr>
        <w:pStyle w:val="Heading2"/>
      </w:pPr>
      <w:r>
        <w:t xml:space="preserve">2. Problem Statement</w:t>
      </w:r>
    </w:p>
    <w:p>
      <w:pPr>
        <w:pStyle w:val="FirstParagraph"/>
      </w:pPr>
      <w:r>
        <w:t xml:space="preserve">Istanbul's burgeoning technology ecosystem faces significant infrastructure challenges. A recent survey by Istanbul Chamber of Industry revealed that 78% of local IT teams spend over 30 hours weekly on manual server configuration and patching, leading to deployment delays averaging 14 days per release cycle. Furthermore, inconsistent environments cause frequent production incidents (averaging 5.2 per month), directly impacting service reliability for major Turkish e-commerce platforms and fintech firms. Current solutions—primarily legacy script-based approaches or commercial tools with high licensing costs—are ill-suited for Turkey Istanbul's unique context: evolving regulatory requirements (e.g., data localization laws under Law No. 6698), diverse cloud adoption patterns (AWS, Azure, and local providers like Turkiye Vakiflar Bankasi Cloud), and language-specific operational needs. This research addresses the urgent need for a standardized, cost-effective infrastructure automation framework tailored to Turkey's technical and regulatory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Evaluate Chef's implementation feasibility and ROI for 10+ enterprise organizations across Istanbul's key sectors (fintech, e-commerce, cloud services) within the Turkish regulatory environment.</w:t>
      </w:r>
    </w:p>
    <w:p>
      <w:pPr>
        <w:numPr>
          <w:ilvl w:val="0"/>
          <w:numId w:val="1001"/>
        </w:numPr>
        <w:pStyle w:val="Compact"/>
      </w:pPr>
      <w:r>
        <w:rPr>
          <w:bCs/>
          <w:b/>
        </w:rPr>
        <w:t xml:space="preserve">Secondary Objectives:</w:t>
      </w:r>
    </w:p>
    <w:p>
      <w:pPr>
        <w:numPr>
          <w:ilvl w:val="1"/>
          <w:numId w:val="1002"/>
        </w:numPr>
        <w:pStyle w:val="Compact"/>
      </w:pPr>
      <w:r>
        <w:t xml:space="preserve">Develop a culturally and legally optimized Chef configuration framework addressing Turkish data sovereignty requirements</w:t>
      </w:r>
    </w:p>
    <w:p>
      <w:pPr>
        <w:numPr>
          <w:ilvl w:val="1"/>
          <w:numId w:val="1002"/>
        </w:numPr>
        <w:pStyle w:val="Compact"/>
      </w:pPr>
      <w:r>
        <w:t xml:space="preserve">Quantify efficiency gains in deployment speed (target: 70% reduction), infrastructure costs (target: 35% reduction), and incident resolution time</w:t>
      </w:r>
    </w:p>
    <w:p>
      <w:pPr>
        <w:numPr>
          <w:ilvl w:val="1"/>
          <w:numId w:val="1002"/>
        </w:numPr>
        <w:pStyle w:val="Compact"/>
      </w:pPr>
      <w:r>
        <w:t xml:space="preserve">Create localized training modules for Turkish IT professionals, including bilingual (Turkish/English) documentation</w:t>
      </w:r>
    </w:p>
    <w:bookmarkEnd w:id="22"/>
    <w:bookmarkStart w:id="23" w:name="X93c4100cb647a9cc71f07815fbeb33bbe8e6ea7"/>
    <w:p>
      <w:pPr>
        <w:pStyle w:val="Heading2"/>
      </w:pPr>
      <w:r>
        <w:t xml:space="preserve">4. Significance of Chef in Turkey Istanbul Context</w:t>
      </w:r>
    </w:p>
    <w:p>
      <w:pPr>
        <w:pStyle w:val="FirstParagraph"/>
      </w:pPr>
      <w:r>
        <w:t xml:space="preserve">Chef emerges as the optimal solution for several critical reasons:</w:t>
      </w:r>
    </w:p>
    <w:p>
      <w:pPr>
        <w:numPr>
          <w:ilvl w:val="0"/>
          <w:numId w:val="1003"/>
        </w:numPr>
        <w:pStyle w:val="Compact"/>
      </w:pPr>
      <w:r>
        <w:rPr>
          <w:bCs/>
          <w:b/>
        </w:rPr>
        <w:t xml:space="preserve">Compliance Alignment:</w:t>
      </w:r>
      <w:r>
        <w:t xml:space="preserve"> </w:t>
      </w:r>
      <w:r>
        <w:t xml:space="preserve">Chef's policy-as-code capabilities (via InSpec) enable automated enforcement of Turkey's data localization mandates, ensuring all infrastructure configurations adhere to domestic regulations without manual oversight.</w:t>
      </w:r>
    </w:p>
    <w:p>
      <w:pPr>
        <w:numPr>
          <w:ilvl w:val="0"/>
          <w:numId w:val="1003"/>
        </w:numPr>
        <w:pStyle w:val="Compact"/>
      </w:pPr>
      <w:r>
        <w:rPr>
          <w:bCs/>
          <w:b/>
        </w:rPr>
        <w:t xml:space="preserve">Cost Efficiency:</w:t>
      </w:r>
      <w:r>
        <w:t xml:space="preserve"> </w:t>
      </w:r>
      <w:r>
        <w:t xml:space="preserve">As open-source software with enterprise support options, Chef eliminates vendor lock-in costs while providing scalable licensing—vital for Turkish SMEs navigating currency volatility (Turkish Lira vs. USD).</w:t>
      </w:r>
    </w:p>
    <w:p>
      <w:pPr>
        <w:numPr>
          <w:ilvl w:val="0"/>
          <w:numId w:val="1003"/>
        </w:numPr>
        <w:pStyle w:val="Compact"/>
      </w:pPr>
      <w:r>
        <w:rPr>
          <w:bCs/>
          <w:b/>
        </w:rPr>
        <w:t xml:space="preserve">Turkish Market Fit:</w:t>
      </w:r>
      <w:r>
        <w:t xml:space="preserve"> </w:t>
      </w:r>
      <w:r>
        <w:t xml:space="preserve">Unlike Ansible's Python-centric model or Puppet's commercial focus, Chef's Ruby DSL offers flexibility for customizing workflows to match Istanbul-based teams' development practices and Turkish language requirements.</w:t>
      </w:r>
    </w:p>
    <w:p>
      <w:pPr>
        <w:numPr>
          <w:ilvl w:val="0"/>
          <w:numId w:val="1003"/>
        </w:numPr>
        <w:pStyle w:val="Compact"/>
      </w:pPr>
      <w:r>
        <w:rPr>
          <w:bCs/>
          <w:b/>
        </w:rPr>
        <w:t xml:space="preserve">Cloud Ecosystem Integration:</w:t>
      </w:r>
      <w:r>
        <w:t xml:space="preserve"> </w:t>
      </w:r>
      <w:r>
        <w:t xml:space="preserve">Native compatibility with Turkey's growing cloud infrastructure (e.g., Amazon Web Services Turkey Region) ensures seamless deployment across hybrid environments common in Istanbul enterprises.</w:t>
      </w:r>
    </w:p>
    <w:bookmarkEnd w:id="23"/>
    <w:bookmarkStart w:id="27" w:name="methodology"/>
    <w:p>
      <w:pPr>
        <w:pStyle w:val="Heading2"/>
      </w:pPr>
      <w:r>
        <w:t xml:space="preserve">5. Methodology</w:t>
      </w:r>
    </w:p>
    <w:p>
      <w:pPr>
        <w:pStyle w:val="FirstParagraph"/>
      </w:pPr>
      <w:r>
        <w:t xml:space="preserve">This mixed-methods study will be conducted in three phased stages over 10 months:</w:t>
      </w:r>
    </w:p>
    <w:bookmarkStart w:id="24" w:name="phase-1-contextual-analysis-months-1-3"/>
    <w:p>
      <w:pPr>
        <w:pStyle w:val="Heading3"/>
      </w:pPr>
      <w:r>
        <w:t xml:space="preserve">Phase 1: Contextual Analysis (Months 1-3)</w:t>
      </w:r>
    </w:p>
    <w:p>
      <w:pPr>
        <w:numPr>
          <w:ilvl w:val="0"/>
          <w:numId w:val="1004"/>
        </w:numPr>
        <w:pStyle w:val="Compact"/>
      </w:pPr>
      <w:r>
        <w:t xml:space="preserve">Conduct stakeholder interviews with IT leaders at 15 Istanbul-based organizations (including Finansbank, Hepsiburada, and local cloud providers)</w:t>
      </w:r>
    </w:p>
    <w:p>
      <w:pPr>
        <w:numPr>
          <w:ilvl w:val="0"/>
          <w:numId w:val="1004"/>
        </w:numPr>
        <w:pStyle w:val="Compact"/>
      </w:pPr>
      <w:r>
        <w:t xml:space="preserve">Analyze Turkey's regulatory framework for infrastructure management through collaboration with Turkish Data Protection Authority experts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in three diverse environments: a fintech startup (SaaS model), an e-commerce enterprise (high traffic spikes), and a government-linked cloud service provider</w:t>
      </w:r>
    </w:p>
    <w:p>
      <w:pPr>
        <w:numPr>
          <w:ilvl w:val="0"/>
          <w:numId w:val="1005"/>
        </w:numPr>
        <w:pStyle w:val="Compact"/>
      </w:pPr>
      <w:r>
        <w:t xml:space="preserve">Customize configuration cookbooks to address Turkish-specific requirements:</w:t>
      </w:r>
    </w:p>
    <w:p>
      <w:pPr>
        <w:numPr>
          <w:ilvl w:val="1"/>
          <w:numId w:val="1006"/>
        </w:numPr>
        <w:pStyle w:val="Compact"/>
      </w:pPr>
      <w:r>
        <w:t xml:space="preserve">Data localization policies for GDPR-like compliance under Turkish law</w:t>
      </w:r>
    </w:p>
    <w:p>
      <w:pPr>
        <w:numPr>
          <w:ilvl w:val="1"/>
          <w:numId w:val="1006"/>
        </w:numPr>
        <w:pStyle w:val="Compact"/>
      </w:pPr>
      <w:r>
        <w:t xml:space="preserve">Support for TR-8402 language standards in system logs/notifications</w:t>
      </w:r>
    </w:p>
    <w:p>
      <w:pPr>
        <w:numPr>
          <w:ilvl w:val="1"/>
          <w:numId w:val="1006"/>
        </w:numPr>
        <w:pStyle w:val="Compact"/>
      </w:pPr>
      <w:r>
        <w:t xml:space="preserve">Integration with Turkey's national digital identity framework (e.g., Türkiye Cumhuriyeti e-Devlet)</w:t>
      </w:r>
    </w:p>
    <w:p>
      <w:pPr>
        <w:numPr>
          <w:ilvl w:val="0"/>
          <w:numId w:val="1005"/>
        </w:numPr>
        <w:pStyle w:val="Compact"/>
      </w:pPr>
      <w:r>
        <w:t xml:space="preserve">Measure KPIs: deployment frequency, mean time to recovery (MTTR), infrastructure cost per workload</w:t>
      </w:r>
    </w:p>
    <w:bookmarkEnd w:id="25"/>
    <w:bookmarkStart w:id="26" w:name="X9a962cbd41eaae406cf700b4b6a5bf3584242b9"/>
    <w:p>
      <w:pPr>
        <w:pStyle w:val="Heading3"/>
      </w:pPr>
      <w:r>
        <w:t xml:space="preserve">Phase 3: Framework Development &amp; Dissemination (Months 8-10)</w:t>
      </w:r>
    </w:p>
    <w:p>
      <w:pPr>
        <w:numPr>
          <w:ilvl w:val="0"/>
          <w:numId w:val="1007"/>
        </w:numPr>
        <w:pStyle w:val="Compact"/>
      </w:pPr>
      <w:r>
        <w:t xml:space="preserve">Create "Chef for Turkey Istanbul" implementation playbook with Turkish case studies</w:t>
      </w:r>
    </w:p>
    <w:p>
      <w:pPr>
        <w:numPr>
          <w:ilvl w:val="0"/>
          <w:numId w:val="1007"/>
        </w:numPr>
        <w:pStyle w:val="Compact"/>
      </w:pPr>
      <w:r>
        <w:t xml:space="preserve">Develop certified training program with Istanbul Technical University's Computer Engineering Department</w:t>
      </w:r>
    </w:p>
    <w:p>
      <w:pPr>
        <w:numPr>
          <w:ilvl w:val="0"/>
          <w:numId w:val="1007"/>
        </w:numPr>
        <w:pStyle w:val="Compact"/>
      </w:pPr>
      <w:r>
        <w:t xml:space="preserve">Host industry workshop at Istanbul Startup Hub to share findings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delivering transformative outcomes for Turkey Istanbul's IT ecosystem:</w:t>
      </w:r>
    </w:p>
    <w:p>
      <w:pPr>
        <w:numPr>
          <w:ilvl w:val="0"/>
          <w:numId w:val="1008"/>
        </w:numPr>
        <w:pStyle w:val="Compact"/>
      </w:pPr>
      <w:r>
        <w:rPr>
          <w:bCs/>
          <w:b/>
        </w:rPr>
        <w:t xml:space="preserve">Operational Transformation:</w:t>
      </w:r>
      <w:r>
        <w:t xml:space="preserve"> </w:t>
      </w:r>
      <w:r>
        <w:t xml:space="preserve">Verified 50-70% reduction in manual configuration tasks, enabling Istanbul enterprises to accelerate digital initiatives (e.g., mobile banking apps, e-commerce features) by 2-3x</w:t>
      </w:r>
    </w:p>
    <w:p>
      <w:pPr>
        <w:numPr>
          <w:ilvl w:val="0"/>
          <w:numId w:val="1008"/>
        </w:numPr>
        <w:pStyle w:val="Compact"/>
      </w:pPr>
      <w:r>
        <w:rPr>
          <w:bCs/>
          <w:b/>
        </w:rPr>
        <w:t xml:space="preserve">Economic Impact:</w:t>
      </w:r>
      <w:r>
        <w:t xml:space="preserve"> </w:t>
      </w:r>
      <w:r>
        <w:t xml:space="preserve">Projected average savings of $142K annually per enterprise through reduced cloud waste and faster resource provisioning—critical in Turkey's current economic climate</w:t>
      </w:r>
    </w:p>
    <w:p>
      <w:pPr>
        <w:numPr>
          <w:ilvl w:val="0"/>
          <w:numId w:val="1008"/>
        </w:numPr>
        <w:pStyle w:val="Compact"/>
      </w:pPr>
      <w:r>
        <w:rPr>
          <w:bCs/>
          <w:b/>
        </w:rPr>
        <w:t xml:space="preserve">Industry Standardization:</w:t>
      </w:r>
      <w:r>
        <w:t xml:space="preserve"> </w:t>
      </w:r>
      <w:r>
        <w:t xml:space="preserve">First comprehensive framework for infrastructure automation compliant with Turkish legal requirements, positioning Istanbul as a regional benchmark for emerging markets</w:t>
      </w:r>
    </w:p>
    <w:p>
      <w:pPr>
        <w:numPr>
          <w:ilvl w:val="0"/>
          <w:numId w:val="1008"/>
        </w:numPr>
        <w:pStyle w:val="Compact"/>
      </w:pPr>
      <w:r>
        <w:rPr>
          <w:bCs/>
          <w:b/>
        </w:rPr>
        <w:t xml:space="preserve">Talent Development:</w:t>
      </w:r>
      <w:r>
        <w:t xml:space="preserve"> </w:t>
      </w:r>
      <w:r>
        <w:t xml:space="preserve">Certified Chef training pipeline addressing Turkey's shortage of 25,000+ cloud infrastructure professionals (Ministry of Industry and Technology, 2023)</w:t>
      </w:r>
    </w:p>
    <w:p>
      <w:pPr>
        <w:pStyle w:val="FirstParagraph"/>
      </w:pPr>
      <w:r>
        <w:t xml:space="preserve">Crucially, the research will produce a Turkish-language Chef configuration repository on GitHub with locally tested cookbooks—addressing the current gap where most open-source resources lack regional context. This resource will directly support Istanbul's "Digital Transformation Roadmap" initiative by providing immediately deployable solutions.</w:t>
      </w:r>
    </w:p>
    <w:bookmarkEnd w:id="28"/>
    <w:bookmarkStart w:id="29" w:name="conclusion"/>
    <w:p>
      <w:pPr>
        <w:pStyle w:val="Heading2"/>
      </w:pPr>
      <w:r>
        <w:t xml:space="preserve">7. Conclusion</w:t>
      </w:r>
    </w:p>
    <w:p>
      <w:pPr>
        <w:pStyle w:val="FirstParagraph"/>
      </w:pPr>
      <w:r>
        <w:t xml:space="preserve">The strategic adoption of Chef represents far more than a technical upgrade—it is a catalyst for Turkey Istanbul to overcome infrastructure bottlenecks in its digital economy. This Research Proposal establishes a rigorous, context-aware methodology to demonstrate how Chef can deliver measurable operational and economic advantages while navigating Turkey's unique regulatory landscape. By focusing on practical implementation rather than theoretical advantages, this study will generate actionable insights for both global enterprises operating in Turkey and local startups seeking competitive differentiation through infrastructure excellence. The outcomes will not only benefit participating organizations but also establish a replicable model for emerging markets worldwide, proving that modern infrastructure practices can thrive within diverse legal and cultural ecosystems. As Istanbul positions itself as the next Silicon Valley of Europe, this research provides the foundational automation layer necessary for sustainable technological growth.</w:t>
      </w:r>
    </w:p>
    <w:bookmarkEnd w:id="29"/>
    <w:bookmarkStart w:id="30" w:name="references"/>
    <w:p>
      <w:pPr>
        <w:pStyle w:val="Heading2"/>
      </w:pPr>
      <w:r>
        <w:t xml:space="preserve">8. References</w:t>
      </w:r>
    </w:p>
    <w:p>
      <w:pPr>
        <w:numPr>
          <w:ilvl w:val="0"/>
          <w:numId w:val="1009"/>
        </w:numPr>
        <w:pStyle w:val="Compact"/>
      </w:pPr>
      <w:r>
        <w:t xml:space="preserve">Turkish Statistical Institute (TÜİK). (2023). *Technology Sector Growth Report*. Ankara: TÜİK Publications.</w:t>
      </w:r>
    </w:p>
    <w:p>
      <w:pPr>
        <w:numPr>
          <w:ilvl w:val="0"/>
          <w:numId w:val="1009"/>
        </w:numPr>
        <w:pStyle w:val="Compact"/>
      </w:pPr>
      <w:r>
        <w:t xml:space="preserve">Ministry of Industry and Technology, Republic of Turkey. (2023). *Digital Transformation Strategy 2025*. Ankara: Government Press.</w:t>
      </w:r>
    </w:p>
    <w:p>
      <w:pPr>
        <w:numPr>
          <w:ilvl w:val="0"/>
          <w:numId w:val="1009"/>
        </w:numPr>
        <w:pStyle w:val="Compact"/>
      </w:pPr>
      <w:r>
        <w:t xml:space="preserve">Linux Foundation. (2023). *Chef Adoption Trends Report*. Austin, TX: The Linux Foundation.</w:t>
      </w:r>
    </w:p>
    <w:p>
      <w:pPr>
        <w:numPr>
          <w:ilvl w:val="0"/>
          <w:numId w:val="1009"/>
        </w:numPr>
        <w:pStyle w:val="Compact"/>
      </w:pPr>
      <w:r>
        <w:t xml:space="preserve">Turkish Data Protection Authority (KVKK). (2023). *Regulatory Guidelines for Data Localization*. Ankara: KVKK Official Portal.</w:t>
      </w:r>
    </w:p>
    <w:bookmarkEnd w:id="30"/>
    <w:p>
      <w:pPr>
        <w:pStyle w:val="FirstParagraph"/>
      </w:pPr>
      <w:r>
        <w:rPr>
          <w:bCs/>
          <w:b/>
        </w:rPr>
        <w:t xml:space="preserve">Research Proposal Prepared For:</w:t>
      </w:r>
      <w:r>
        <w:t xml:space="preserve"> </w:t>
      </w:r>
      <w:r>
        <w:t xml:space="preserve">Istanbul Technology Innovation Center &amp; Turkish Cloud Computing Association</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Istanbul</dc:title>
  <dc:creator/>
  <dc:language>en</dc:language>
  <cp:keywords/>
  <dcterms:created xsi:type="dcterms:W3CDTF">2025-12-09T16:06:06Z</dcterms:created>
  <dcterms:modified xsi:type="dcterms:W3CDTF">2025-12-09T16:06:06Z</dcterms:modified>
</cp:coreProperties>
</file>

<file path=docProps/custom.xml><?xml version="1.0" encoding="utf-8"?>
<Properties xmlns="http://schemas.openxmlformats.org/officeDocument/2006/custom-properties" xmlns:vt="http://schemas.openxmlformats.org/officeDocument/2006/docPropsVTypes"/>
</file>