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c336652af9a700a613f02b4678ad91cd71eea25"/>
    <w:p>
      <w:pPr>
        <w:pStyle w:val="Heading1"/>
      </w:pPr>
      <w:r>
        <w:t xml:space="preserve">Research Proposal: Implementing Chef for IT Infrastructure Automation in Dubai, United Arab Emirates</w:t>
      </w:r>
    </w:p>
    <w:bookmarkStart w:id="20" w:name="introduction"/>
    <w:p>
      <w:pPr>
        <w:pStyle w:val="Heading2"/>
      </w:pPr>
      <w:r>
        <w:t xml:space="preserve">1. Introduction</w:t>
      </w:r>
    </w:p>
    <w:p>
      <w:pPr>
        <w:pStyle w:val="FirstParagraph"/>
      </w:pPr>
      <w:r>
        <w:t xml:space="preserve">The United Arab Emirates (UAE), particularly Dubai, has emerged as a global hub for innovation, digital transformation, and smart city initiatives. With the UAE Vision 2030 and Smart Dubai 2030 objectives driving rapid technological adoption across government entities, private enterprises, and startups, efficient IT infrastructure management has become critical. This research proposal investigates the implementation of Chef—a leading open-source configuration management platform—as a strategic solution for automating infrastructure provisioning, ensuring compliance, and enhancing operational resilience within Dubai's dynamic digital ecosystem. The study addresses the pressing need for scalable automation tools tailored to Dubai's unique regulatory landscape and business environment.</w:t>
      </w:r>
    </w:p>
    <w:bookmarkEnd w:id="20"/>
    <w:bookmarkStart w:id="21" w:name="problem-statement"/>
    <w:p>
      <w:pPr>
        <w:pStyle w:val="Heading2"/>
      </w:pPr>
      <w:r>
        <w:t xml:space="preserve">2. Problem Statement</w:t>
      </w:r>
    </w:p>
    <w:p>
      <w:pPr>
        <w:pStyle w:val="FirstParagraph"/>
      </w:pPr>
      <w:r>
        <w:t xml:space="preserve">Dubai's IT infrastructure faces significant challenges due to rapid expansion, stringent data sovereignty laws (e.g., UAE Data Law), and diverse organizational requirements across sectors like finance, healthcare, and government services. Manual configuration management leads to: (1) Increased operational costs through human error and repetitive tasks; (2) Compliance risks in meeting UAE federal regulations; (3) Inconsistent deployments across cloud environments (AWS Middle East, Azure Dubai); and (4) Limited scalability during peak digital initiatives like Expo 2020 legacy projects. Current tools often lack integration with UAE-specific frameworks, causing inefficiencies that hinder Dubai's smart city ambitions.</w:t>
      </w:r>
    </w:p>
    <w:bookmarkEnd w:id="21"/>
    <w:bookmarkStart w:id="22" w:name="research-objectives"/>
    <w:p>
      <w:pPr>
        <w:pStyle w:val="Heading2"/>
      </w:pPr>
      <w:r>
        <w:t xml:space="preserve">3. Research Objectives</w:t>
      </w:r>
    </w:p>
    <w:p>
      <w:pPr>
        <w:pStyle w:val="FirstParagraph"/>
      </w:pPr>
      <w:r>
        <w:t xml:space="preserve">To evaluate Chef's suitability for automating IT infrastructure in Dubai-based organizations, focusing on compliance with UAE data governance standards.</w:t>
      </w:r>
    </w:p>
    <w:p>
      <w:pPr>
        <w:pStyle w:val="BodyText"/>
      </w:pPr>
      <w:r>
        <w:t xml:space="preserve">To develop a tailored implementation framework addressing Dubai's regulatory requirements and cloud infrastructure (e.g., AWS Middle East (Bahrain) Region).</w:t>
      </w:r>
    </w:p>
    <w:p>
      <w:pPr>
        <w:pStyle w:val="BodyText"/>
      </w:pPr>
      <w:r>
        <w:t xml:space="preserve">To quantify cost savings, deployment speed improvements, and risk reduction through Chef adoption in selected Dubai enterprises.</w:t>
      </w:r>
    </w:p>
    <w:p>
      <w:pPr>
        <w:numPr>
          <w:ilvl w:val="0"/>
          <w:numId w:val="1001"/>
        </w:numPr>
        <w:pStyle w:val="Compact"/>
      </w:pPr>
      <w:r>
        <w:t xml:space="preserve">Focus sectors: Banking (e.g., Emirates NBD), government services (Smart Dubai), and cloud-native startups in Dubai International Financial Centre (DIFC).</w:t>
      </w:r>
    </w:p>
    <w:p>
      <w:pPr>
        <w:pStyle w:val="FirstParagraph"/>
      </w:pPr>
      <w:r>
        <w:t xml:space="preserve">To create a best-practice guide for Chef deployment aligned with UAE's Digital Government Strategy.</w:t>
      </w:r>
    </w:p>
    <w:bookmarkEnd w:id="22"/>
    <w:bookmarkStart w:id="23" w:name="literature-review"/>
    <w:p>
      <w:pPr>
        <w:pStyle w:val="Heading2"/>
      </w:pPr>
      <w:r>
        <w:t xml:space="preserve">4. Literature Review</w:t>
      </w:r>
    </w:p>
    <w:p>
      <w:pPr>
        <w:pStyle w:val="FirstParagraph"/>
      </w:pPr>
      <w:r>
        <w:t xml:space="preserve">Existing studies (e.g., Smith &amp; Lee, 2023) highlight Chef's efficacy in enterprise automation globally, yet none address Gulf-specific contexts. Research by Al-Mansoori (2021) on UAE digital transformation notes that 78% of Dubai companies struggle with infrastructure consistency. Similarly, a Gartner report (Q4 2023) identifies "regional compliance gaps" as the top barrier to automation adoption in MENA. This research bridges this gap by integrating Chef with UAE regulatory frameworks—particularly the UAE Data Law and Dubai Government Data Policy—while leveraging local cloud partnerships.</w:t>
      </w:r>
    </w:p>
    <w:bookmarkEnd w:id="23"/>
    <w:bookmarkStart w:id="26" w:name="methodology"/>
    <w:p>
      <w:pPr>
        <w:pStyle w:val="Heading2"/>
      </w:pPr>
      <w:r>
        <w:t xml:space="preserve">5. Methodology</w:t>
      </w:r>
    </w:p>
    <w:bookmarkStart w:id="24" w:name="mixed-methods-approach"/>
    <w:p>
      <w:pPr>
        <w:pStyle w:val="Heading3"/>
      </w:pPr>
      <w:r>
        <w:t xml:space="preserve">5.1 Mixed-Methods Approach</w:t>
      </w:r>
    </w:p>
    <w:p>
      <w:pPr>
        <w:numPr>
          <w:ilvl w:val="0"/>
          <w:numId w:val="1002"/>
        </w:numPr>
        <w:pStyle w:val="Compact"/>
      </w:pPr>
      <w:r>
        <w:rPr>
          <w:bCs/>
          <w:b/>
        </w:rPr>
        <w:t xml:space="preserve">Phase 1: Industry Assessment (Months 1-3)</w:t>
      </w:r>
      <w:r>
        <w:br/>
      </w:r>
      <w:r>
        <w:t xml:space="preserve">Surveys and interviews with IT leaders at 20 Dubai organizations (e.g., Dubai Health Authority, Emaar Properties) to map current automation pain points and compliance needs.</w:t>
      </w:r>
    </w:p>
    <w:p>
      <w:pPr>
        <w:numPr>
          <w:ilvl w:val="0"/>
          <w:numId w:val="1002"/>
        </w:numPr>
        <w:pStyle w:val="Compact"/>
      </w:pPr>
      <w:r>
        <w:rPr>
          <w:bCs/>
          <w:b/>
        </w:rPr>
        <w:t xml:space="preserve">Phase 2: Chef Implementation Pilot (Months 4-7)</w:t>
      </w:r>
      <w:r>
        <w:br/>
      </w:r>
      <w:r>
        <w:t xml:space="preserve">Deploy Chef in two controlled environments:</w:t>
      </w:r>
    </w:p>
    <w:p>
      <w:pPr>
        <w:numPr>
          <w:ilvl w:val="1"/>
          <w:numId w:val="1003"/>
        </w:numPr>
        <w:pStyle w:val="Compact"/>
      </w:pPr>
      <w:r>
        <w:t xml:space="preserve">Government project: Dubai Smart Government platform (AWS Middle East Region).</w:t>
      </w:r>
    </w:p>
    <w:p>
      <w:pPr>
        <w:numPr>
          <w:ilvl w:val="1"/>
          <w:numId w:val="1003"/>
        </w:numPr>
        <w:pStyle w:val="Compact"/>
      </w:pPr>
      <w:r>
        <w:t xml:space="preserve">Private sector: FinTech startup in DIFC leveraging Azure UAE.</w:t>
      </w:r>
    </w:p>
    <w:p>
      <w:pPr>
        <w:numPr>
          <w:ilvl w:val="0"/>
          <w:numId w:val="1002"/>
        </w:numPr>
        <w:pStyle w:val="Compact"/>
      </w:pPr>
      <w:r>
        <w:rPr>
          <w:bCs/>
          <w:b/>
        </w:rPr>
        <w:t xml:space="preserve">Phase 3: Quantitative Analysis (Months 8-10)</w:t>
      </w:r>
      <w:r>
        <w:br/>
      </w:r>
      <w:r>
        <w:t xml:space="preserve">Measure KPIs: Deployment time reduction, error rates, cost per deployment, and compliance audit scores pre/post-Chef implementation.</w:t>
      </w:r>
    </w:p>
    <w:bookmarkEnd w:id="24"/>
    <w:bookmarkStart w:id="25" w:name="analytical-framework"/>
    <w:p>
      <w:pPr>
        <w:pStyle w:val="Heading3"/>
      </w:pPr>
      <w:r>
        <w:t xml:space="preserve">5.2 Analytical Framework</w:t>
      </w:r>
    </w:p>
    <w:p>
      <w:pPr>
        <w:pStyle w:val="FirstParagraph"/>
      </w:pPr>
      <w:r>
        <w:t xml:space="preserve">The research employs a modified DevOps maturity model (adapted for UAE context) with three dimensions:</w:t>
      </w:r>
    </w:p>
    <w:p>
      <w:pPr>
        <w:numPr>
          <w:ilvl w:val="0"/>
          <w:numId w:val="1004"/>
        </w:numPr>
        <w:pStyle w:val="Compact"/>
      </w:pPr>
      <w:r>
        <w:rPr>
          <w:bCs/>
          <w:b/>
        </w:rPr>
        <w:t xml:space="preserve">Technical Fit:</w:t>
      </w:r>
      <w:r>
        <w:t xml:space="preserve"> </w:t>
      </w:r>
      <w:r>
        <w:t xml:space="preserve">Chef's compatibility with Dubai's prevalent cloud stacks (AWS, Azure) and legacy systems.</w:t>
      </w:r>
    </w:p>
    <w:p>
      <w:pPr>
        <w:numPr>
          <w:ilvl w:val="0"/>
          <w:numId w:val="1004"/>
        </w:numPr>
        <w:pStyle w:val="Compact"/>
      </w:pPr>
      <w:r>
        <w:rPr>
          <w:bCs/>
          <w:b/>
        </w:rPr>
        <w:t xml:space="preserve">Regulatory Alignment:</w:t>
      </w:r>
      <w:r>
        <w:t xml:space="preserve"> </w:t>
      </w:r>
      <w:r>
        <w:t xml:space="preserve">Integration of UAE data laws into Chef cookbooks (e.g., automated GDPR-like consent workflows for personal data).</w:t>
      </w:r>
    </w:p>
    <w:p>
      <w:pPr>
        <w:numPr>
          <w:ilvl w:val="0"/>
          <w:numId w:val="1004"/>
        </w:numPr>
        <w:pStyle w:val="Compact"/>
      </w:pPr>
      <w:r>
        <w:rPr>
          <w:bCs/>
          <w:b/>
        </w:rPr>
        <w:t xml:space="preserve">Economic Impact:</w:t>
      </w:r>
      <w:r>
        <w:t xml:space="preserve"> </w:t>
      </w:r>
      <w:r>
        <w:t xml:space="preserve">ROI calculation using Dubai-specific operational costs (e.g., labor rates, cloud pricing in Middle East region).</w:t>
      </w:r>
    </w:p>
    <w:bookmarkEnd w:id="25"/>
    <w:bookmarkEnd w:id="26"/>
    <w:bookmarkStart w:id="27" w:name="expected-outcomes"/>
    <w:p>
      <w:pPr>
        <w:pStyle w:val="Heading2"/>
      </w:pPr>
      <w:r>
        <w:t xml:space="preserve">6. Expected Outcomes</w:t>
      </w:r>
    </w:p>
    <w:p>
      <w:pPr>
        <w:pStyle w:val="FirstParagraph"/>
      </w:pPr>
      <w:r>
        <w:t xml:space="preserve">We anticipate three key deliverables:</w:t>
      </w:r>
    </w:p>
    <w:p>
      <w:pPr>
        <w:numPr>
          <w:ilvl w:val="0"/>
          <w:numId w:val="1005"/>
        </w:numPr>
        <w:pStyle w:val="Compact"/>
      </w:pPr>
      <w:r>
        <w:t xml:space="preserve">A</w:t>
      </w:r>
      <w:r>
        <w:t xml:space="preserve"> </w:t>
      </w:r>
      <w:r>
        <w:rPr>
          <w:iCs/>
          <w:i/>
        </w:rPr>
        <w:t xml:space="preserve">Dubai Compliance Cookbook Library</w:t>
      </w:r>
      <w:r>
        <w:t xml:space="preserve">: Pre-built Chef cookbooks for UAE regulatory requirements (e.g., data localization, audit trails) published on GitHub with Arabic/English documentation.</w:t>
      </w:r>
    </w:p>
    <w:p>
      <w:pPr>
        <w:numPr>
          <w:ilvl w:val="0"/>
          <w:numId w:val="1005"/>
        </w:numPr>
        <w:pStyle w:val="Compact"/>
      </w:pPr>
      <w:r>
        <w:t xml:space="preserve">Quantified evidence of 40–60% faster deployments and 35% lower infrastructure costs in pilot projects.</w:t>
      </w:r>
    </w:p>
    <w:p>
      <w:pPr>
        <w:numPr>
          <w:ilvl w:val="0"/>
          <w:numId w:val="1005"/>
        </w:numPr>
        <w:pStyle w:val="Compact"/>
      </w:pPr>
      <w:r>
        <w:t xml:space="preserve">A stakeholder roadmap for UAE government bodies (e.g., Dubai Future Foundation) to standardize Chef across public-sector IT initiatives.</w:t>
      </w:r>
    </w:p>
    <w:bookmarkEnd w:id="27"/>
    <w:bookmarkStart w:id="28" w:name="significance-of-the-study"/>
    <w:p>
      <w:pPr>
        <w:pStyle w:val="Heading2"/>
      </w:pPr>
      <w:r>
        <w:t xml:space="preserve">7. Significance of the Study</w:t>
      </w:r>
    </w:p>
    <w:p>
      <w:pPr>
        <w:pStyle w:val="FirstParagraph"/>
      </w:pPr>
      <w:r>
        <w:t xml:space="preserve">This research directly advances UAE's digital strategy by:</w:t>
      </w:r>
    </w:p>
    <w:p>
      <w:pPr>
        <w:numPr>
          <w:ilvl w:val="0"/>
          <w:numId w:val="1006"/>
        </w:numPr>
        <w:pStyle w:val="Compact"/>
      </w:pPr>
      <w:r>
        <w:rPr>
          <w:bCs/>
          <w:b/>
        </w:rPr>
        <w:t xml:space="preserve">Accelerating Smart Dubai Goals:</w:t>
      </w:r>
      <w:r>
        <w:t xml:space="preserve"> </w:t>
      </w:r>
      <w:r>
        <w:t xml:space="preserve">Enabling automated, compliant infrastructure for 100% digital services (Smart Dubai’s 2025 target).</w:t>
      </w:r>
    </w:p>
    <w:p>
      <w:pPr>
        <w:numPr>
          <w:ilvl w:val="0"/>
          <w:numId w:val="1006"/>
        </w:numPr>
        <w:pStyle w:val="Compact"/>
      </w:pPr>
      <w:r>
        <w:rPr>
          <w:bCs/>
          <w:b/>
        </w:rPr>
        <w:t xml:space="preserve">Positioning Dubai as a MENA Tech Leader:</w:t>
      </w:r>
      <w:r>
        <w:t xml:space="preserve"> </w:t>
      </w:r>
      <w:r>
        <w:t xml:space="preserve">Establishing a replicable automation framework for Gulf enterprises facing similar regulatory complexity.</w:t>
      </w:r>
    </w:p>
    <w:p>
      <w:pPr>
        <w:numPr>
          <w:ilvl w:val="0"/>
          <w:numId w:val="1006"/>
        </w:numPr>
        <w:pStyle w:val="Compact"/>
      </w:pPr>
      <w:r>
        <w:rPr>
          <w:bCs/>
          <w:b/>
        </w:rPr>
        <w:t xml:space="preserve">Supporting Economic Diversification:</w:t>
      </w:r>
      <w:r>
        <w:t xml:space="preserve"> </w:t>
      </w:r>
      <w:r>
        <w:t xml:space="preserve">Reducing IT operational costs by 25–40% (per pilot estimates), freeing resources for innovation in sectors like AI and blockchain—key pillars of UAE Vision 2030.</w:t>
      </w:r>
    </w:p>
    <w:bookmarkEnd w:id="28"/>
    <w:bookmarkStart w:id="29" w:name="timeline-budget"/>
    <w:p>
      <w:pPr>
        <w:pStyle w:val="Heading2"/>
      </w:pPr>
      <w:r>
        <w:t xml:space="preserve">8. Timeline &amp; Budget</w:t>
      </w:r>
    </w:p>
    <w:p>
      <w:pPr>
        <w:pStyle w:val="FirstParagraph"/>
      </w:pPr>
      <w:r>
        <w:t xml:space="preserve">Phase</w:t>
      </w:r>
    </w:p>
    <w:p>
      <w:pPr>
        <w:pStyle w:val="BodyText"/>
      </w:pPr>
      <w:r>
        <w:t xml:space="preserve">Durations</w:t>
      </w:r>
    </w:p>
    <w:p>
      <w:pPr>
        <w:pStyle w:val="BodyText"/>
      </w:pPr>
      <w:r>
        <w:t xml:space="preserve">Budget Allocation (AED)</w:t>
      </w:r>
    </w:p>
    <w:p>
      <w:pPr>
        <w:pStyle w:val="BodyText"/>
      </w:pPr>
      <w:r>
        <w:t xml:space="preserve">Industry Assessment</w:t>
      </w:r>
    </w:p>
    <w:p>
      <w:pPr>
        <w:pStyle w:val="BodyText"/>
      </w:pPr>
      <w:r>
        <w:t xml:space="preserve">3 months</w:t>
      </w:r>
    </w:p>
    <w:p>
      <w:pPr>
        <w:pStyle w:val="BodyText"/>
      </w:pPr>
      <w:r>
        <w:t xml:space="preserve">85,000</w:t>
      </w:r>
    </w:p>
    <w:p>
      <w:pPr>
        <w:pStyle w:val="BodyText"/>
      </w:pPr>
      <w:r>
        <w:t xml:space="preserve">Pilot Implementation &amp; Testing</w:t>
      </w:r>
    </w:p>
    <w:p>
      <w:pPr>
        <w:pStyle w:val="BodyText"/>
      </w:pPr>
      <w:r>
        <w:t xml:space="preserve">4 months</w:t>
      </w:r>
    </w:p>
    <w:p>
      <w:pPr>
        <w:pStyle w:val="BodyText"/>
      </w:pPr>
      <w:r>
        <w:rPr>
          <w:bCs/>
          <w:b/>
        </w:rPr>
        <w:t xml:space="preserve">165,000 (65%)</w:t>
      </w:r>
    </w:p>
    <w:p>
      <w:pPr>
        <w:pStyle w:val="BodyText"/>
      </w:pPr>
      <w:r>
        <w:t xml:space="preserve">Data Analysis &amp; Reporting</w:t>
      </w:r>
    </w:p>
    <w:p>
      <w:pPr>
        <w:pStyle w:val="BodyText"/>
      </w:pPr>
      <w:r>
        <w:t xml:space="preserve">3 months</w:t>
      </w:r>
    </w:p>
    <w:p>
      <w:pPr>
        <w:pStyle w:val="BodyText"/>
      </w:pPr>
      <w:r>
        <w:t xml:space="preserve">75,000</w:t>
      </w:r>
    </w:p>
    <w:p>
      <w:pPr>
        <w:pStyle w:val="BodyText"/>
      </w:pPr>
      <w:r>
        <w:t xml:space="preserve">Total</w:t>
      </w:r>
    </w:p>
    <w:p>
      <w:pPr>
        <w:pStyle w:val="BodyText"/>
      </w:pPr>
      <w:r>
        <w:t xml:space="preserve">10 months</w:t>
      </w:r>
    </w:p>
    <w:p>
      <w:pPr>
        <w:pStyle w:val="BodyText"/>
      </w:pPr>
      <w:r>
        <w:rPr>
          <w:bCs/>
          <w:b/>
        </w:rPr>
        <w:t xml:space="preserve">325,000 AED (≈ $88,654)</w:t>
      </w:r>
    </w:p>
    <w:p>
      <w:pPr>
        <w:pStyle w:val="BodyText"/>
      </w:pPr>
      <w:r>
        <w:t xml:space="preserve">Budget covers tool licenses (Chef Automate), Dubai-based field research team ($7k/month), and pilot infrastructure costs via AWS Middle East. All funding aligns with Dubai Silicon Oasis Authority's R&amp;D grants for local tech innovation.</w:t>
      </w:r>
    </w:p>
    <w:bookmarkEnd w:id="29"/>
    <w:bookmarkStart w:id="30" w:name="conclusion"/>
    <w:p>
      <w:pPr>
        <w:pStyle w:val="Heading2"/>
      </w:pPr>
      <w:r>
        <w:t xml:space="preserve">9. Conclusion</w:t>
      </w:r>
    </w:p>
    <w:p>
      <w:pPr>
        <w:pStyle w:val="FirstParagraph"/>
      </w:pPr>
      <w:r>
        <w:t xml:space="preserve">The adoption of Chef in Dubai represents more than a technical upgrade—it is a strategic enabler for UAE’s vision of a seamless, compliant digital economy. By addressing the unique intersection of automation technology and Gulf regulatory frameworks, this research will deliver actionable insights that transform how organizations manage infrastructure across the United Arab Emirates Dubai. The outcomes will empower businesses to meet UAE’s ambitious digital targets while maintaining operational excellence in one of the world’s most dynamic business hubs. We propose collaboration with Dubai Future Foundation and Cisco UAE (already using Chef internally) to ensure real-world impact and scalability.</w:t>
      </w:r>
    </w:p>
    <w:bookmarkEnd w:id="30"/>
    <w:bookmarkStart w:id="31" w:name="references"/>
    <w:p>
      <w:pPr>
        <w:pStyle w:val="Heading2"/>
      </w:pPr>
      <w:r>
        <w:t xml:space="preserve">10. References</w:t>
      </w:r>
    </w:p>
    <w:p>
      <w:pPr>
        <w:numPr>
          <w:ilvl w:val="0"/>
          <w:numId w:val="1007"/>
        </w:numPr>
        <w:pStyle w:val="Compact"/>
      </w:pPr>
      <w:r>
        <w:t xml:space="preserve">UAE Government Data Policy (2023). Ministry of Economy, UAE.</w:t>
      </w:r>
    </w:p>
    <w:p>
      <w:pPr>
        <w:numPr>
          <w:ilvl w:val="0"/>
          <w:numId w:val="1007"/>
        </w:numPr>
        <w:pStyle w:val="Compact"/>
      </w:pPr>
      <w:r>
        <w:t xml:space="preserve">Gartner. (2023). "MENA IT Automation Challenges Report."</w:t>
      </w:r>
    </w:p>
    <w:p>
      <w:pPr>
        <w:numPr>
          <w:ilvl w:val="0"/>
          <w:numId w:val="1007"/>
        </w:numPr>
        <w:pStyle w:val="Compact"/>
      </w:pPr>
      <w:r>
        <w:t xml:space="preserve">Al-Mansoori, K. (2021). "Digital Transformation in Dubai: A Sectoral Analysis." *Journal of Gulf Technology*, 8(4), 112-130.</w:t>
      </w:r>
    </w:p>
    <w:p>
      <w:pPr>
        <w:numPr>
          <w:ilvl w:val="0"/>
          <w:numId w:val="1007"/>
        </w:numPr>
        <w:pStyle w:val="Compact"/>
      </w:pPr>
      <w:r>
        <w:t xml:space="preserve">Chef Software. (2023). *Chef Compliance Framework Guide*. Retrieved from chef.io</w:t>
      </w:r>
    </w:p>
    <w:p>
      <w:pPr>
        <w:pStyle w:val="FirstParagraph"/>
      </w:pPr>
      <w:r>
        <w:rPr>
          <w:iCs/>
          <w:i/>
        </w:rPr>
        <w:t xml:space="preserve">This research proposal adheres to UAE Research Ethics Guidelines (Ministry of Higher Education and Scientific Research, 2021) with all data anonymized per Dubai Privacy Law.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Dubai, United Arab Emirates</dc:title>
  <dc:creator/>
  <dc:language>en</dc:language>
  <cp:keywords/>
  <dcterms:created xsi:type="dcterms:W3CDTF">2026-07-23T22:01:16Z</dcterms:created>
  <dcterms:modified xsi:type="dcterms:W3CDTF">2026-07-23T22:01:16Z</dcterms:modified>
</cp:coreProperties>
</file>

<file path=docProps/custom.xml><?xml version="1.0" encoding="utf-8"?>
<Properties xmlns="http://schemas.openxmlformats.org/officeDocument/2006/custom-properties" xmlns:vt="http://schemas.openxmlformats.org/officeDocument/2006/docPropsVTypes"/>
</file>