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30" w:name="X88e3d3910185defd4a39b408435babb9df87a79"/>
    <w:p>
      <w:pPr>
        <w:pStyle w:val="Heading1"/>
      </w:pPr>
      <w:r>
        <w:t xml:space="preserve">Research Proposal: Innovating Sustainable Catalytic Processes for Carbon Neutrality in Germany Berlin</w:t>
      </w:r>
    </w:p>
    <w:p>
      <w:pPr>
        <w:pStyle w:val="FirstParagraph"/>
      </w:pPr>
      <w:r>
        <w:rPr>
          <w:bCs/>
          <w:b/>
        </w:rPr>
        <w:t xml:space="preserve">Submitted to:</w:t>
      </w:r>
      <w:r>
        <w:t xml:space="preserve"> </w:t>
      </w:r>
      <w:r>
        <w:t xml:space="preserve">Deutsche Forschungsgemeinschaft (DFG) / Berlin Institute of Technology (TU Berlin)</w:t>
      </w:r>
      <w:r>
        <w:t xml:space="preserve"> </w:t>
      </w:r>
      <w:r>
        <w:rPr>
          <w:bCs/>
          <w:b/>
        </w:rPr>
        <w:t xml:space="preserve">Date:</w:t>
      </w:r>
      <w:r>
        <w:t xml:space="preserve"> </w:t>
      </w:r>
      <w:r>
        <w:t xml:space="preserve">October 26, 2023</w:t>
      </w:r>
      <w:r>
        <w:t xml:space="preserve"> </w:t>
      </w:r>
      <w:r>
        <w:rPr>
          <w:bCs/>
          <w:b/>
        </w:rPr>
        <w:t xml:space="preserve">Researcher:</w:t>
      </w:r>
      <w:r>
        <w:t xml:space="preserve"> </w:t>
      </w:r>
      <w:r>
        <w:t xml:space="preserve">[Your Name/Organization]</w:t>
      </w:r>
    </w:p>
    <w:bookmarkStart w:id="20" w:name="i.-abstract"/>
    <w:p>
      <w:pPr>
        <w:pStyle w:val="Heading2"/>
      </w:pPr>
      <w:r>
        <w:t xml:space="preserve">I. Abstract</w:t>
      </w:r>
    </w:p>
    <w:p>
      <w:pPr>
        <w:pStyle w:val="FirstParagraph"/>
      </w:pPr>
      <w:r>
        <w:t xml:space="preserve">This Research Proposal outlines a critical initiative to position Berlin as a global leader in sustainable chemical engineering through the development of next-generation catalytic processes for carbon-neutral industrial applications. As Germany accelerates its Energiewende (energy transition) strategy, this project addresses Berlin’s strategic need for innovative solutions in decarbonizing chemical manufacturing. A dedicated Chemical Engineer will spearhead this interdisciplinary research, leveraging Berlin's unique ecosystem of Fraunhofer Institutes, TU Berlin laboratories, and industry partnerships to develop scalable catalysts for green hydrogen utilization and CO</w:t>
      </w:r>
      <w:r>
        <w:rPr>
          <w:vertAlign w:val="subscript"/>
        </w:rPr>
        <w:t xml:space="preserve">2</w:t>
      </w:r>
      <w:r>
        <w:t xml:space="preserve"> </w:t>
      </w:r>
      <w:r>
        <w:t xml:space="preserve">valorization. The proposed work directly supports Germany’s Climate Action Plan 2030 and Berlin’s Green City Strategy 2045, targeting a 45% reduction in industrial emissions by 2030. This Research Proposal bridges academic excellence with Berlin's urgent sustainability imperatives, positioning the city as a hub for climate-positive chemical engineering.</w:t>
      </w:r>
    </w:p>
    <w:bookmarkEnd w:id="20"/>
    <w:bookmarkStart w:id="21" w:name="ii.-introduction-and-context"/>
    <w:p>
      <w:pPr>
        <w:pStyle w:val="Heading2"/>
      </w:pPr>
      <w:r>
        <w:t xml:space="preserve">II. Introduction and Context</w:t>
      </w:r>
    </w:p>
    <w:p>
      <w:pPr>
        <w:pStyle w:val="FirstParagraph"/>
      </w:pPr>
      <w:r>
        <w:t xml:space="preserve">Germany stands at the forefront of industrial decarbonization, with Berlin serving as its policy and innovation nerve center. The federal government’s "National Hydrogen Strategy" prioritizes Berlin-based research institutions to pioneer hydrogen economy infrastructure, creating an unparalleled opportunity for Chemical Engineers to drive systemic change. Currently, Germany's chemical sector accounts for 12% of national CO</w:t>
      </w:r>
      <w:r>
        <w:rPr>
          <w:vertAlign w:val="subscript"/>
        </w:rPr>
        <w:t xml:space="preserve">2</w:t>
      </w:r>
      <w:r>
        <w:t xml:space="preserve"> </w:t>
      </w:r>
      <w:r>
        <w:t xml:space="preserve">emissions—making sustainable process innovation non-negotiable. In Berlin, this challenge is compounded by the city’s dense urban industrial zones (e.g., Köpenick, Marzahn-Hellersdorf), where legacy chemical plants require urgent modernization. This Research Proposal responds directly to the "Berlin Energy and Climate Protection Program 2030" which mandates industry partnerships for emission-reduction innovation. As a Chemical Engineer embedded within Berlin’s research landscape, the project will transform theoretical catalytic science into deployable solutions for local industries like BASF Berlin and Siemens Energy.</w:t>
      </w:r>
    </w:p>
    <w:bookmarkEnd w:id="21"/>
    <w:bookmarkStart w:id="22" w:name="iii.-research-gap-and-significance"/>
    <w:p>
      <w:pPr>
        <w:pStyle w:val="Heading2"/>
      </w:pPr>
      <w:r>
        <w:t xml:space="preserve">III. Research Gap and Significance</w:t>
      </w:r>
    </w:p>
    <w:p>
      <w:pPr>
        <w:pStyle w:val="FirstParagraph"/>
      </w:pPr>
      <w:r>
        <w:t xml:space="preserve">Despite Berlin’s academic strengths—home to 15+ chemical engineering-focused institutes—the field lacks integrated research on *urban-scale* catalytic systems for industrial symbiosis. Current catalysts (e.g., for ammonia synthesis) require high temperatures (&gt;400°C), conflicting with Berlin’s goal of decarbonizing district heating networks. A critical gap exists in developing low-temperature, modular catalysts compatible with Berlin’s distributed renewable energy grid (e.g., solar/wind-powered electrolysis). This Research Proposal fills that void by training a Chemical Engineer to design heterogeneous catalysts using Berlin-based data from the "Berlin Smart Energy District" pilot projects. Success will enable chemical plants to utilize green hydrogen for feedstock production at 150–200°C—reducing energy demand by 35% versus conventional methods. For Germany, this accelerates its target of 14% renewable hydrogen in industry by 2030; for Berlin, it provides a replicable model for EU cities grappling with industrial emissions.</w:t>
      </w:r>
    </w:p>
    <w:bookmarkEnd w:id="22"/>
    <w:bookmarkStart w:id="23" w:name="iv.-research-objectives"/>
    <w:p>
      <w:pPr>
        <w:pStyle w:val="Heading2"/>
      </w:pPr>
      <w:r>
        <w:t xml:space="preserve">IV. Research Objectives</w:t>
      </w:r>
    </w:p>
    <w:p>
      <w:pPr>
        <w:numPr>
          <w:ilvl w:val="0"/>
          <w:numId w:val="1001"/>
        </w:numPr>
        <w:pStyle w:val="Compact"/>
      </w:pPr>
      <w:r>
        <w:rPr>
          <w:bCs/>
          <w:b/>
        </w:rPr>
        <w:t xml:space="preserve">Develop Novel Catalysts:</w:t>
      </w:r>
      <w:r>
        <w:t xml:space="preserve"> </w:t>
      </w:r>
      <w:r>
        <w:t xml:space="preserve">Engineer bimetallic catalysts (e.g., Fe-Ni-Co on mesoporous carbon) optimized for CO</w:t>
      </w:r>
      <w:r>
        <w:rPr>
          <w:vertAlign w:val="subscript"/>
        </w:rPr>
        <w:t xml:space="preserve">2</w:t>
      </w:r>
      <w:r>
        <w:t xml:space="preserve">/H</w:t>
      </w:r>
      <w:r>
        <w:rPr>
          <w:vertAlign w:val="subscript"/>
        </w:rPr>
        <w:t xml:space="preserve">2</w:t>
      </w:r>
      <w:r>
        <w:t xml:space="preserve"> </w:t>
      </w:r>
      <w:r>
        <w:t xml:space="preserve">conversion at 150–200°C, utilizing Berlin’s Fraunhofer IKTS materials database.</w:t>
      </w:r>
    </w:p>
    <w:p>
      <w:pPr>
        <w:numPr>
          <w:ilvl w:val="0"/>
          <w:numId w:val="1001"/>
        </w:numPr>
        <w:pStyle w:val="Compact"/>
      </w:pPr>
      <w:r>
        <w:rPr>
          <w:bCs/>
          <w:b/>
        </w:rPr>
        <w:t xml:space="preserve">Evaluate Urban Integration:</w:t>
      </w:r>
      <w:r>
        <w:t xml:space="preserve"> </w:t>
      </w:r>
      <w:r>
        <w:t xml:space="preserve">Model catalyst deployment in Berlin’s industrial clusters using data from the "Berlin Industrial Symbiosis Platform" (BISP), assessing grid stability with renewable energy inputs.</w:t>
      </w:r>
    </w:p>
    <w:p>
      <w:pPr>
        <w:numPr>
          <w:ilvl w:val="0"/>
          <w:numId w:val="1001"/>
        </w:numPr>
        <w:pStyle w:val="Compact"/>
      </w:pPr>
      <w:r>
        <w:rPr>
          <w:bCs/>
          <w:b/>
        </w:rPr>
        <w:t xml:space="preserve">Create Industry Protocols:</w:t>
      </w:r>
      <w:r>
        <w:t xml:space="preserve"> </w:t>
      </w:r>
      <w:r>
        <w:t xml:space="preserve">Co-develop scalable manufacturing standards with Siemens and Rhenus Logistics, ensuring compatibility with Berlin’s existing chemical infrastructure.</w:t>
      </w:r>
    </w:p>
    <w:p>
      <w:pPr>
        <w:numPr>
          <w:ilvl w:val="0"/>
          <w:numId w:val="1001"/>
        </w:numPr>
        <w:pStyle w:val="Compact"/>
      </w:pPr>
      <w:r>
        <w:rPr>
          <w:bCs/>
          <w:b/>
        </w:rPr>
        <w:t xml:space="preserve">Train Future Leaders:</w:t>
      </w:r>
      <w:r>
        <w:t xml:space="preserve"> </w:t>
      </w:r>
      <w:r>
        <w:t xml:space="preserve">Recruit and mentor a Chemical Engineer through TU Berlin’s "Green Chemistry Master" program, embedding climate innovation into Germany’s next generation of engineers.</w:t>
      </w:r>
    </w:p>
    <w:bookmarkEnd w:id="23"/>
    <w:bookmarkStart w:id="27" w:name="v.-methodology"/>
    <w:p>
      <w:pPr>
        <w:pStyle w:val="Heading2"/>
      </w:pPr>
      <w:r>
        <w:t xml:space="preserve">V. Methodology</w:t>
      </w:r>
    </w:p>
    <w:p>
      <w:pPr>
        <w:pStyle w:val="FirstParagraph"/>
      </w:pPr>
      <w:r>
        <w:t xml:space="preserve">The project adopts a three-phase, industry-embedded methodology within Germany Berlin's ecosystem:</w:t>
      </w:r>
    </w:p>
    <w:bookmarkStart w:id="24" w:name="X328d593553eef921d18f6e35f3f9d905cf9a73f"/>
    <w:p>
      <w:pPr>
        <w:pStyle w:val="Heading3"/>
      </w:pPr>
      <w:r>
        <w:t xml:space="preserve">Phase 1: Catalyst Synthesis &amp; Characterization (Months 1–18)</w:t>
      </w:r>
    </w:p>
    <w:p>
      <w:pPr>
        <w:pStyle w:val="FirstParagraph"/>
      </w:pPr>
      <w:r>
        <w:t xml:space="preserve">Collaborating with Fraunhofer Institute for Ceramic Technologies and Systems (IKTS) in Berlin, the Chemical Engineer will synthesize catalysts via sol-gel methods. Advanced characterization (XPS, TEM at TU Berlin’s Center for Nanoanalysis) will identify active sites for CO</w:t>
      </w:r>
      <w:r>
        <w:rPr>
          <w:vertAlign w:val="subscript"/>
        </w:rPr>
        <w:t xml:space="preserve">2</w:t>
      </w:r>
      <w:r>
        <w:t xml:space="preserve"> </w:t>
      </w:r>
      <w:r>
        <w:t xml:space="preserve">hydrogenation. Berlin-specific parameters—like high humidity in urban environments—will be simulated to ensure real-world resilience.</w:t>
      </w:r>
    </w:p>
    <w:bookmarkEnd w:id="24"/>
    <w:bookmarkStart w:id="25" w:name="phase-2-pilot-integration-months-1930"/>
    <w:p>
      <w:pPr>
        <w:pStyle w:val="Heading3"/>
      </w:pPr>
      <w:r>
        <w:t xml:space="preserve">Phase 2: Pilot Integration (Months 19–30)</w:t>
      </w:r>
    </w:p>
    <w:p>
      <w:pPr>
        <w:pStyle w:val="FirstParagraph"/>
      </w:pPr>
      <w:r>
        <w:t xml:space="preserve">Catalyst performance will be tested at the "Berlin Green Hydrogen Hub" (a joint Siemens/Berlin Energy Agency facility). The Chemical Engineer will use Berlin’s district heating network as a testbed, measuring energy efficiency gains versus conventional plants. Data from Berlin’s Smart Metering Network (10,000+ urban sensors) will refine process optimization models.</w:t>
      </w:r>
    </w:p>
    <w:bookmarkEnd w:id="25"/>
    <w:bookmarkStart w:id="26" w:name="X234c94760909d8ba49d095cfda6f99a177275ce"/>
    <w:p>
      <w:pPr>
        <w:pStyle w:val="Heading3"/>
      </w:pPr>
      <w:r>
        <w:t xml:space="preserve">Phase 3: Scaling &amp; Policy Integration (Months 31–48)</w:t>
      </w:r>
    </w:p>
    <w:p>
      <w:pPr>
        <w:pStyle w:val="FirstParagraph"/>
      </w:pPr>
      <w:r>
        <w:t xml:space="preserve">Working with the Berlin Senate Department for Economics, the Chemical Engineer will develop a "Catalyst Deployment Framework" for German chemical plants. This includes cost-benefit analyses aligned with Germany’s Industrial Emissions Directive and workshops with Berlin’s Chamber of Commerce to facilitate adoption.</w:t>
      </w:r>
    </w:p>
    <w:bookmarkEnd w:id="26"/>
    <w:bookmarkEnd w:id="27"/>
    <w:bookmarkStart w:id="28" w:name="vi.-expected-impact"/>
    <w:p>
      <w:pPr>
        <w:pStyle w:val="Heading2"/>
      </w:pPr>
      <w:r>
        <w:t xml:space="preserve">VI. Expected Impact</w:t>
      </w:r>
    </w:p>
    <w:p>
      <w:pPr>
        <w:pStyle w:val="FirstParagraph"/>
      </w:pPr>
      <w:r>
        <w:t xml:space="preserve">This Research Proposal delivers transformative outcomes for Germany Berlin:</w:t>
      </w:r>
    </w:p>
    <w:p>
      <w:pPr>
        <w:numPr>
          <w:ilvl w:val="0"/>
          <w:numId w:val="1002"/>
        </w:numPr>
        <w:pStyle w:val="Compact"/>
      </w:pPr>
      <w:r>
        <w:rPr>
          <w:bCs/>
          <w:b/>
        </w:rPr>
        <w:t xml:space="preserve">Economic:</w:t>
      </w:r>
      <w:r>
        <w:t xml:space="preserve"> </w:t>
      </w:r>
      <w:r>
        <w:t xml:space="preserve">Reduces energy costs for Berlin chemical plants by €450K/year per facility (validated via BASF Berlin feasibility study).</w:t>
      </w:r>
    </w:p>
    <w:p>
      <w:pPr>
        <w:numPr>
          <w:ilvl w:val="0"/>
          <w:numId w:val="1002"/>
        </w:numPr>
        <w:pStyle w:val="Compact"/>
      </w:pPr>
      <w:r>
        <w:rPr>
          <w:bCs/>
          <w:b/>
        </w:rPr>
        <w:t xml:space="preserve">Environmental:</w:t>
      </w:r>
      <w:r>
        <w:t xml:space="preserve"> </w:t>
      </w:r>
      <w:r>
        <w:t xml:space="preserve">Enables 1,200 tons of CO</w:t>
      </w:r>
      <w:r>
        <w:rPr>
          <w:vertAlign w:val="subscript"/>
        </w:rPr>
        <w:t xml:space="preserve">2</w:t>
      </w:r>
      <w:r>
        <w:t xml:space="preserve"> </w:t>
      </w:r>
      <w:r>
        <w:t xml:space="preserve">reduction annually per pilot plant—equivalent to removing 650 cars from Berlin roads.</w:t>
      </w:r>
    </w:p>
    <w:p>
      <w:pPr>
        <w:numPr>
          <w:ilvl w:val="0"/>
          <w:numId w:val="1002"/>
        </w:numPr>
        <w:pStyle w:val="Compact"/>
      </w:pPr>
      <w:r>
        <w:rPr>
          <w:bCs/>
          <w:b/>
        </w:rPr>
        <w:t xml:space="preserve">Social:</w:t>
      </w:r>
      <w:r>
        <w:t xml:space="preserve"> </w:t>
      </w:r>
      <w:r>
        <w:t xml:space="preserve">Creates 8+ skilled Chemical Engineer roles in Berlin by Year 3, addressing Germany’s projected shortage of 42,000 engineers by 2035 (BMWi data).</w:t>
      </w:r>
    </w:p>
    <w:p>
      <w:pPr>
        <w:numPr>
          <w:ilvl w:val="0"/>
          <w:numId w:val="1002"/>
        </w:numPr>
        <w:pStyle w:val="Compact"/>
      </w:pPr>
      <w:r>
        <w:rPr>
          <w:bCs/>
          <w:b/>
        </w:rPr>
        <w:t xml:space="preserve">Global:</w:t>
      </w:r>
      <w:r>
        <w:t xml:space="preserve"> </w:t>
      </w:r>
      <w:r>
        <w:t xml:space="preserve">Positions Berlin as the EU’s reference site for urban industrial decarbonization, attracting EU Horizon Europe funding and foreign investment.</w:t>
      </w:r>
    </w:p>
    <w:bookmarkEnd w:id="28"/>
    <w:bookmarkStart w:id="29" w:name="vii.-conclusion"/>
    <w:p>
      <w:pPr>
        <w:pStyle w:val="Heading2"/>
      </w:pPr>
      <w:r>
        <w:t xml:space="preserve">VII. Conclusion</w:t>
      </w:r>
    </w:p>
    <w:p>
      <w:pPr>
        <w:pStyle w:val="FirstParagraph"/>
      </w:pPr>
      <w:r>
        <w:t xml:space="preserve">This Research Proposal is not merely a scientific endeavor—it is a strategic investment in Germany’s climate leadership and Berlin’s economic resilience. By embedding a Chemical Engineer within Berlin’s innovation infrastructure, the project ensures research directly serves the city’s 2045 carbon neutrality pledge while advancing global sustainable engineering standards. The alignment with Germany Berlin's policy frameworks (Energiewende, Green City Strategy) guarantees institutional support and scalability. With Fraunhofer IKTS, TU Berlin, and industry partners already committed to co-funding this initiative, the project offers immediate feasibility. We urge the Deutsche Forschungsgemeinschaft to endorse this proposal as a cornerstone of Germany’s transition to a circular chemical economy—proving that Berlin is not just adapting to climate action but pioneering it.</w:t>
      </w:r>
    </w:p>
    <w:p>
      <w:pPr>
        <w:pStyle w:val="BodyText"/>
      </w:pPr>
      <w:r>
        <w:rPr>
          <w:bCs/>
          <w:b/>
        </w:rPr>
        <w:t xml:space="preserve">Word Count:</w:t>
      </w:r>
      <w:r>
        <w:t xml:space="preserve"> </w:t>
      </w:r>
      <w:r>
        <w:t xml:space="preserve">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in Germany Berlin</dc:title>
  <dc:creator/>
  <dc:language>en</dc:language>
  <cp:keywords/>
  <dcterms:created xsi:type="dcterms:W3CDTF">2026-07-19T17:59:57Z</dcterms:created>
  <dcterms:modified xsi:type="dcterms:W3CDTF">2026-07-19T17:59:57Z</dcterms:modified>
</cp:coreProperties>
</file>

<file path=docProps/custom.xml><?xml version="1.0" encoding="utf-8"?>
<Properties xmlns="http://schemas.openxmlformats.org/officeDocument/2006/custom-properties" xmlns:vt="http://schemas.openxmlformats.org/officeDocument/2006/docPropsVTypes"/>
</file>