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Chemical</w:t>
      </w:r>
      <w:r>
        <w:t xml:space="preserve"> </w:t>
      </w:r>
      <w:r>
        <w:t xml:space="preserve">Engineering</w:t>
      </w:r>
      <w:r>
        <w:t xml:space="preserve"> </w:t>
      </w:r>
      <w:r>
        <w:t xml:space="preserve">Innovation</w:t>
      </w:r>
      <w:r>
        <w:t xml:space="preserve"> </w:t>
      </w:r>
      <w:r>
        <w:t xml:space="preserve">in</w:t>
      </w:r>
      <w:r>
        <w:t xml:space="preserve"> </w:t>
      </w:r>
      <w:r>
        <w:t xml:space="preserve">Osaka,</w:t>
      </w:r>
      <w:r>
        <w:t xml:space="preserve"> </w:t>
      </w:r>
      <w:r>
        <w:t xml:space="preserve">Japan</w:t>
      </w:r>
    </w:p>
    <w:bookmarkStart w:id="27" w:name="Xde9393b3a3df5be791cad858a48887cec3a3ffd"/>
    <w:p>
      <w:pPr>
        <w:pStyle w:val="Heading1"/>
      </w:pPr>
      <w:r>
        <w:t xml:space="preserve">Research Proposal: Advancing Sustainable Chemical Engineering through Carbon Capture and Utilization in Osaka, Japan</w:t>
      </w:r>
    </w:p>
    <w:bookmarkStart w:id="20" w:name="introduction-and-context"/>
    <w:p>
      <w:pPr>
        <w:pStyle w:val="Heading2"/>
      </w:pPr>
      <w:r>
        <w:t xml:space="preserve">1. Introduction and Context</w:t>
      </w:r>
    </w:p>
    <w:p>
      <w:pPr>
        <w:pStyle w:val="FirstParagraph"/>
      </w:pPr>
      <w:r>
        <w:t xml:space="preserve">The role of a</w:t>
      </w:r>
      <w:r>
        <w:t xml:space="preserve"> </w:t>
      </w:r>
      <w:r>
        <w:rPr>
          <w:bCs/>
          <w:b/>
        </w:rPr>
        <w:t xml:space="preserve">Chemical Engineer</w:t>
      </w:r>
      <w:r>
        <w:t xml:space="preserve"> </w:t>
      </w:r>
      <w:r>
        <w:t xml:space="preserve">has never been more critical in the global transition toward sustainable industrial practices. In Japan, particularly within the dynamic industrial ecosystem of</w:t>
      </w:r>
      <w:r>
        <w:t xml:space="preserve"> </w:t>
      </w:r>
      <w:r>
        <w:rPr>
          <w:bCs/>
          <w:b/>
        </w:rPr>
        <w:t xml:space="preserve">Japan Osaka</w:t>
      </w:r>
      <w:r>
        <w:t xml:space="preserve">, this expertise is pivotal for addressing pressing environmental challenges while maintaining economic competitiveness. Osaka serves as a central hub for chemical manufacturing, pharmaceuticals, and advanced materials production, hosting major facilities of companies like Tosoh Corporation, Nippon Shokubai Co., Ltd., and Kansai Electric Power Company. However, the sector faces intense pressure to reduce carbon emissions in alignment with Japan’s "Green Growth Strategy 2021" targeting net-zero by 2050. This research proposal outlines a targeted investigation into scalable carbon capture and utilization (CCU) technologies specifically designed for Osaka's chemical industry landscape, led by a dedicated</w:t>
      </w:r>
      <w:r>
        <w:t xml:space="preserve"> </w:t>
      </w:r>
      <w:r>
        <w:rPr>
          <w:bCs/>
          <w:b/>
        </w:rPr>
        <w:t xml:space="preserve">Chemical Engineer</w:t>
      </w:r>
      <w:r>
        <w:t xml:space="preserve"> </w:t>
      </w:r>
      <w:r>
        <w:t xml:space="preserve">team.</w:t>
      </w:r>
    </w:p>
    <w:bookmarkEnd w:id="20"/>
    <w:bookmarkStart w:id="21" w:name="problem-statement"/>
    <w:p>
      <w:pPr>
        <w:pStyle w:val="Heading2"/>
      </w:pPr>
      <w:r>
        <w:t xml:space="preserve">2. Problem Statement</w:t>
      </w:r>
    </w:p>
    <w:p>
      <w:pPr>
        <w:pStyle w:val="FirstParagraph"/>
      </w:pPr>
      <w:r>
        <w:t xml:space="preserve">The chemical manufacturing cluster in</w:t>
      </w:r>
      <w:r>
        <w:t xml:space="preserve"> </w:t>
      </w:r>
      <w:r>
        <w:rPr>
          <w:bCs/>
          <w:b/>
        </w:rPr>
        <w:t xml:space="preserve">Japan Osaka</w:t>
      </w:r>
      <w:r>
        <w:t xml:space="preserve">, while economically vital, contributes significantly to regional CO₂ emissions due to energy-intensive processes (e.g., petrochemical cracking, ammonia synthesis). Current carbon capture technologies are often prohibitively expensive or incompatible with the diverse feedstocks and operational conditions prevalent in Osaka's factories. Existing solutions lack integration with local industrial symbiosis networks—key to Osaka’s circular economy vision. Without localized, cost-effective innovations, the sector risks regulatory penalties under Japan’s revised Act on Promotion of Global Warming Countermeasures (2023) and diminished global competitiveness. A specialized</w:t>
      </w:r>
      <w:r>
        <w:t xml:space="preserve"> </w:t>
      </w:r>
      <w:r>
        <w:rPr>
          <w:bCs/>
          <w:b/>
        </w:rPr>
        <w:t xml:space="preserve">Chemical Engineer</w:t>
      </w:r>
      <w:r>
        <w:t xml:space="preserve"> </w:t>
      </w:r>
      <w:r>
        <w:t xml:space="preserve">must spearhead R&amp;D to bridge this gap, leveraging Osaka's unique industrial infrastructure.</w:t>
      </w:r>
    </w:p>
    <w:bookmarkEnd w:id="21"/>
    <w:bookmarkStart w:id="22" w:name="research-objectives"/>
    <w:p>
      <w:pPr>
        <w:pStyle w:val="Heading2"/>
      </w:pPr>
      <w:r>
        <w:t xml:space="preserve">3. Research Objectives</w:t>
      </w:r>
    </w:p>
    <w:p>
      <w:pPr>
        <w:pStyle w:val="FirstParagraph"/>
      </w:pPr>
      <w:r>
        <w:t xml:space="preserve">This project aims to develop and validate a novel CO₂ capture system tailored for Osaka’s chemical industry through the following objectives:</w:t>
      </w:r>
    </w:p>
    <w:p>
      <w:pPr>
        <w:numPr>
          <w:ilvl w:val="0"/>
          <w:numId w:val="1001"/>
        </w:numPr>
        <w:pStyle w:val="Compact"/>
      </w:pPr>
      <w:r>
        <w:rPr>
          <w:bCs/>
          <w:b/>
        </w:rPr>
        <w:t xml:space="preserve">Design Optimization</w:t>
      </w:r>
      <w:r>
        <w:t xml:space="preserve">: Develop metal-organic framework (MOF)-based adsorbents with enhanced selectivity for CO₂ from mixed flue gases common in Osaka’s petrochemical plants, utilizing local waste heat sources to minimize energy penalty.</w:t>
      </w:r>
    </w:p>
    <w:p>
      <w:pPr>
        <w:numPr>
          <w:ilvl w:val="0"/>
          <w:numId w:val="1001"/>
        </w:numPr>
        <w:pStyle w:val="Compact"/>
      </w:pPr>
      <w:r>
        <w:rPr>
          <w:bCs/>
          <w:b/>
        </w:rPr>
        <w:t xml:space="preserve">Process Integration</w:t>
      </w:r>
      <w:r>
        <w:t xml:space="preserve">: Engineer a pilot-scale CCU unit compatible with Osaka’s existing industrial infrastructure (e.g., integration with Kansai Electric Power’s waste steam networks), reducing capital costs by 25% compared to global benchmarks.</w:t>
      </w:r>
    </w:p>
    <w:p>
      <w:pPr>
        <w:numPr>
          <w:ilvl w:val="0"/>
          <w:numId w:val="1001"/>
        </w:numPr>
        <w:pStyle w:val="Compact"/>
      </w:pPr>
      <w:r>
        <w:rPr>
          <w:bCs/>
          <w:b/>
        </w:rPr>
        <w:t xml:space="preserve">Economic &amp; Environmental Validation</w:t>
      </w:r>
      <w:r>
        <w:t xml:space="preserve">: Quantify carbon reduction potential (target: ≥30% at pilot scale) and lifecycle emissions within the</w:t>
      </w:r>
      <w:r>
        <w:t xml:space="preserve"> </w:t>
      </w:r>
      <w:r>
        <w:rPr>
          <w:bCs/>
          <w:b/>
        </w:rPr>
        <w:t xml:space="preserve">Japan Osaka</w:t>
      </w:r>
      <w:r>
        <w:t xml:space="preserve"> </w:t>
      </w:r>
      <w:r>
        <w:t xml:space="preserve">context, including validation against Japan’s Emission Trading Scheme requirements.</w:t>
      </w:r>
    </w:p>
    <w:p>
      <w:pPr>
        <w:numPr>
          <w:ilvl w:val="0"/>
          <w:numId w:val="1001"/>
        </w:numPr>
        <w:pStyle w:val="Compact"/>
      </w:pPr>
      <w:r>
        <w:rPr>
          <w:bCs/>
          <w:b/>
        </w:rPr>
        <w:t xml:space="preserve">Stakeholder Engagement Framework</w:t>
      </w:r>
      <w:r>
        <w:t xml:space="preserve">: Co-create an implementation roadmap with Osaka-based chemical firms (e.g., Daicel Corporation, Sumitomo Chemical) and Osaka Prefecture’s Sustainable Industry Task Force to ensure rapid deployment.</w:t>
      </w:r>
    </w:p>
    <w:bookmarkEnd w:id="22"/>
    <w:bookmarkStart w:id="23" w:name="X61cd59a74ff31ea8aecd14a15ded9d02cf24338"/>
    <w:p>
      <w:pPr>
        <w:pStyle w:val="Heading2"/>
      </w:pPr>
      <w:r>
        <w:t xml:space="preserve">4. Methodology: A Chemical Engineer’s Approach for Osaka</w:t>
      </w:r>
    </w:p>
    <w:p>
      <w:pPr>
        <w:pStyle w:val="FirstParagraph"/>
      </w:pPr>
      <w:r>
        <w:t xml:space="preserve">The project adopts a multi-phase, industry-embedded methodology led by a lead</w:t>
      </w:r>
      <w:r>
        <w:t xml:space="preserve"> </w:t>
      </w:r>
      <w:r>
        <w:rPr>
          <w:bCs/>
          <w:b/>
        </w:rPr>
        <w:t xml:space="preserve">Chemical Engineer</w:t>
      </w:r>
      <w:r>
        <w:t xml:space="preserve"> </w:t>
      </w:r>
      <w:r>
        <w:t xml:space="preserve">with expertise in adsorption processes and industrial decarbonization:</w:t>
      </w:r>
    </w:p>
    <w:p>
      <w:pPr>
        <w:numPr>
          <w:ilvl w:val="0"/>
          <w:numId w:val="1002"/>
        </w:numPr>
        <w:pStyle w:val="Compact"/>
      </w:pPr>
      <w:r>
        <w:rPr>
          <w:bCs/>
          <w:b/>
        </w:rPr>
        <w:t xml:space="preserve">Phase 1 (Months 1-6)</w:t>
      </w:r>
      <w:r>
        <w:t xml:space="preserve">: Comprehensive emissions mapping of three Osaka chemical sites (e.g., Osaka City, Suita, Sakai) to identify optimal CO₂ capture points. Partnering with Osaka University’s Institute of Scientific and Industrial Research (ISIR) for advanced material screening using computational modeling.</w:t>
      </w:r>
    </w:p>
    <w:p>
      <w:pPr>
        <w:numPr>
          <w:ilvl w:val="0"/>
          <w:numId w:val="1002"/>
        </w:numPr>
        <w:pStyle w:val="Compact"/>
      </w:pPr>
      <w:r>
        <w:rPr>
          <w:bCs/>
          <w:b/>
        </w:rPr>
        <w:t xml:space="preserve">Phase 2 (Months 7-18)</w:t>
      </w:r>
      <w:r>
        <w:t xml:space="preserve">: Synthesis of tailored MOFs at Osaka’s Advanced Materials Processing Center. Lab-scale testing under simulated Osaka industrial conditions (e.g., high SO₂ levels from coal-fired power plants in Kansai). Iterative optimization using Japan’s AI-driven process simulation tools (e.g., JGC Corporation’s software).</w:t>
      </w:r>
    </w:p>
    <w:p>
      <w:pPr>
        <w:numPr>
          <w:ilvl w:val="0"/>
          <w:numId w:val="1002"/>
        </w:numPr>
        <w:pStyle w:val="Compact"/>
      </w:pPr>
      <w:r>
        <w:rPr>
          <w:bCs/>
          <w:b/>
        </w:rPr>
        <w:t xml:space="preserve">Phase 3 (Months 19-30)</w:t>
      </w:r>
      <w:r>
        <w:t xml:space="preserve">: Deployment of a 5-tonne/day pilot unit at a partner plant in Osaka Industrial Park. Real-time monitoring of energy use, capture efficiency, and integration with existing utilities. Collaboration with the Osaka Prefecture Environmental Bureau for compliance validation.</w:t>
      </w:r>
    </w:p>
    <w:p>
      <w:pPr>
        <w:numPr>
          <w:ilvl w:val="0"/>
          <w:numId w:val="1002"/>
        </w:numPr>
        <w:pStyle w:val="Compact"/>
      </w:pPr>
      <w:r>
        <w:rPr>
          <w:bCs/>
          <w:b/>
        </w:rPr>
        <w:t xml:space="preserve">Phase 4 (Months 31-36)</w:t>
      </w:r>
      <w:r>
        <w:t xml:space="preserve">: Economic feasibility analysis using Japan’s Ministry of Economy, Trade and Industry (METI) cost models. Development of a scalable "Osaka CCU Model" for wider adoption across Japanese chemical hubs.</w:t>
      </w:r>
    </w:p>
    <w:bookmarkEnd w:id="23"/>
    <w:bookmarkStart w:id="24" w:name="significance-for-japan-osaka"/>
    <w:p>
      <w:pPr>
        <w:pStyle w:val="Heading2"/>
      </w:pPr>
      <w:r>
        <w:t xml:space="preserve">5. Significance for Japan Osaka</w:t>
      </w:r>
    </w:p>
    <w:p>
      <w:pPr>
        <w:pStyle w:val="FirstParagraph"/>
      </w:pPr>
      <w:r>
        <w:t xml:space="preserve">This research directly addresses Osaka’s strategic priorities outlined in the *Osaka Vision 2030* and *Kansai Green Innovation Plan*. By embedding the solution within Osaka’s existing industrial ecosystem, it offers:</w:t>
      </w:r>
    </w:p>
    <w:p>
      <w:pPr>
        <w:numPr>
          <w:ilvl w:val="0"/>
          <w:numId w:val="1003"/>
        </w:numPr>
        <w:pStyle w:val="Compact"/>
      </w:pPr>
      <w:r>
        <w:rPr>
          <w:bCs/>
          <w:b/>
        </w:rPr>
        <w:t xml:space="preserve">Accelerated Decarbonization</w:t>
      </w:r>
      <w:r>
        <w:t xml:space="preserve">: Potential to reduce emissions from Osaka’s chemical sector by up to 15% by 2035—exceeding Japan’s national target for heavy industry.</w:t>
      </w:r>
    </w:p>
    <w:p>
      <w:pPr>
        <w:numPr>
          <w:ilvl w:val="0"/>
          <w:numId w:val="1003"/>
        </w:numPr>
        <w:pStyle w:val="Compact"/>
      </w:pPr>
      <w:r>
        <w:rPr>
          <w:bCs/>
          <w:b/>
        </w:rPr>
        <w:t xml:space="preserve">Economic Resilience</w:t>
      </w:r>
      <w:r>
        <w:t xml:space="preserve">: Creation of high-skilled</w:t>
      </w:r>
      <w:r>
        <w:t xml:space="preserve"> </w:t>
      </w:r>
      <w:r>
        <w:rPr>
          <w:bCs/>
          <w:b/>
        </w:rPr>
        <w:t xml:space="preserve">Chemical Engineer</w:t>
      </w:r>
      <w:r>
        <w:t xml:space="preserve"> </w:t>
      </w:r>
      <w:r>
        <w:t xml:space="preserve">jobs and new export opportunities for Osaka-made CCU technology to ASEAN markets (e.g., Thailand, Vietnam) where similar industries are expanding.</w:t>
      </w:r>
    </w:p>
    <w:p>
      <w:pPr>
        <w:numPr>
          <w:ilvl w:val="0"/>
          <w:numId w:val="1003"/>
        </w:numPr>
        <w:pStyle w:val="Compact"/>
      </w:pPr>
      <w:r>
        <w:rPr>
          <w:bCs/>
          <w:b/>
        </w:rPr>
        <w:t xml:space="preserve">Synergy with Osaka’s Infrastructure</w:t>
      </w:r>
      <w:r>
        <w:t xml:space="preserve">: Utilizing the region’s port facilities for CO₂ transport/storage and leveraging industrial waste heat from nearby power plants, reducing reliance on imported energy.</w:t>
      </w:r>
    </w:p>
    <w:p>
      <w:pPr>
        <w:numPr>
          <w:ilvl w:val="0"/>
          <w:numId w:val="1003"/>
        </w:numPr>
        <w:pStyle w:val="Compact"/>
      </w:pPr>
      <w:r>
        <w:rPr>
          <w:bCs/>
          <w:b/>
        </w:rPr>
        <w:t xml:space="preserve">Policy Alignment</w:t>
      </w:r>
      <w:r>
        <w:t xml:space="preserve">: Supporting Japan’s "Green Innovation Fund" (J$1.5 trillion) by providing a deployable solution for the Chemical Sector Roadmap under the Ministry of Environment.</w:t>
      </w:r>
    </w:p>
    <w:bookmarkEnd w:id="24"/>
    <w:bookmarkStart w:id="25" w:name="expected-outcomes-and-dissemination"/>
    <w:p>
      <w:pPr>
        <w:pStyle w:val="Heading2"/>
      </w:pPr>
      <w:r>
        <w:t xml:space="preserve">6. Expected Outcomes and Dissemination</w:t>
      </w:r>
    </w:p>
    <w:p>
      <w:pPr>
        <w:pStyle w:val="FirstParagraph"/>
      </w:pPr>
      <w:r>
        <w:t xml:space="preserve">The project will deliver:</w:t>
      </w:r>
    </w:p>
    <w:p>
      <w:pPr>
        <w:numPr>
          <w:ilvl w:val="0"/>
          <w:numId w:val="1004"/>
        </w:numPr>
        <w:pStyle w:val="Compact"/>
      </w:pPr>
      <w:r>
        <w:t xml:space="preserve">A patent-pending MOF adsorbent optimized for Osaka’s industrial gas streams.</w:t>
      </w:r>
    </w:p>
    <w:p>
      <w:pPr>
        <w:numPr>
          <w:ilvl w:val="0"/>
          <w:numId w:val="1004"/>
        </w:numPr>
        <w:pStyle w:val="Compact"/>
      </w:pPr>
      <w:r>
        <w:t xml:space="preserve">A validated pilot CCU process with performance metrics (capture rate, energy use) for Osaka’s chemical plants.</w:t>
      </w:r>
    </w:p>
    <w:p>
      <w:pPr>
        <w:numPr>
          <w:ilvl w:val="0"/>
          <w:numId w:val="1004"/>
        </w:numPr>
        <w:pStyle w:val="Compact"/>
      </w:pPr>
      <w:r>
        <w:t xml:space="preserve">Technical guidelines and cost models adopted by the Osaka Chemical Industry Association (OCIA).</w:t>
      </w:r>
    </w:p>
    <w:p>
      <w:pPr>
        <w:numPr>
          <w:ilvl w:val="0"/>
          <w:numId w:val="1004"/>
        </w:numPr>
        <w:pStyle w:val="Compact"/>
      </w:pPr>
      <w:r>
        <w:t xml:space="preserve">Policy briefs for Japan’s Ministry of Environment on scaling CCU in regional industrial clusters.</w:t>
      </w:r>
    </w:p>
    <w:p>
      <w:pPr>
        <w:pStyle w:val="FirstParagraph"/>
      </w:pPr>
      <w:r>
        <w:t xml:space="preserve">All findings will be disseminated through Osaka University publications, presentations at the *Japan Society of Chemical Engineers* conference (hosted annually in Osaka), and workshops with Osaka City’s Green Technology Office. The research output will directly inform the next iteration of Japan’s Carbon Management Strategy (2025).</w:t>
      </w:r>
    </w:p>
    <w:bookmarkEnd w:id="25"/>
    <w:bookmarkStart w:id="26" w:name="X49d77227fafbe1de4342797f7f340fd8ca61450"/>
    <w:p>
      <w:pPr>
        <w:pStyle w:val="Heading2"/>
      </w:pPr>
      <w:r>
        <w:t xml:space="preserve">7. Conclusion: A Catalyst for Osaka's Engineering Leadership</w:t>
      </w:r>
    </w:p>
    <w:p>
      <w:pPr>
        <w:pStyle w:val="FirstParagraph"/>
      </w:pPr>
      <w:r>
        <w:t xml:space="preserve">In the pursuit of a sustainable industrial future,</w:t>
      </w:r>
      <w:r>
        <w:t xml:space="preserve"> </w:t>
      </w:r>
      <w:r>
        <w:rPr>
          <w:bCs/>
          <w:b/>
        </w:rPr>
        <w:t xml:space="preserve">Japan Osaka</w:t>
      </w:r>
      <w:r>
        <w:t xml:space="preserve"> </w:t>
      </w:r>
      <w:r>
        <w:t xml:space="preserve">stands at an inflection point where innovation in chemical engineering is non-negotiable. This research proposal positions the role of the</w:t>
      </w:r>
      <w:r>
        <w:t xml:space="preserve"> </w:t>
      </w:r>
      <w:r>
        <w:rPr>
          <w:bCs/>
          <w:b/>
        </w:rPr>
        <w:t xml:space="preserve">Chemical Engineer</w:t>
      </w:r>
      <w:r>
        <w:t xml:space="preserve"> </w:t>
      </w:r>
      <w:r>
        <w:t xml:space="preserve">not merely as a technical executor but as a strategic catalyst for regional transformation. By grounding R&amp;D in Osaka’s specific industrial context—from its energy mix to its policy framework—this project ensures that technological advancements translate into tangible emission reductions and economic value. The outcomes will establish Osaka as a global model for decarbonized chemical manufacturing, demonstrating how targeted engineering excellence can drive Japan’s green transition while securing the future of its industrial heartland. We request funding and institutional partnership to launch this critical initiative, beginning in Q1 2025.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Chemical Engineering Innovation in Osaka, Japan</dc:title>
  <dc:creator/>
  <dc:language>en</dc:language>
  <cp:keywords/>
  <dcterms:created xsi:type="dcterms:W3CDTF">2026-07-23T06:57:12Z</dcterms:created>
  <dcterms:modified xsi:type="dcterms:W3CDTF">2026-07-23T06:57:12Z</dcterms:modified>
</cp:coreProperties>
</file>

<file path=docProps/custom.xml><?xml version="1.0" encoding="utf-8"?>
<Properties xmlns="http://schemas.openxmlformats.org/officeDocument/2006/custom-properties" xmlns:vt="http://schemas.openxmlformats.org/officeDocument/2006/docPropsVTypes"/>
</file>