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Mexico</w:t>
      </w:r>
      <w:r>
        <w:t xml:space="preserve"> </w:t>
      </w:r>
      <w:r>
        <w:t xml:space="preserve">City</w:t>
      </w:r>
    </w:p>
    <w:bookmarkStart w:id="29" w:name="X830bb279c71ca3ff4feec20cfd6ab86304456d0"/>
    <w:p>
      <w:pPr>
        <w:pStyle w:val="Heading1"/>
      </w:pPr>
      <w:r>
        <w:t xml:space="preserve">Research Proposal: Advancing Sustainable Chemical Engineering Innovation for Urban Challenges in Mexico City</w:t>
      </w:r>
    </w:p>
    <w:bookmarkStart w:id="20" w:name="introduction-and-background"/>
    <w:p>
      <w:pPr>
        <w:pStyle w:val="Heading2"/>
      </w:pPr>
      <w:r>
        <w:t xml:space="preserve">Introduction and Background</w:t>
      </w:r>
    </w:p>
    <w:p>
      <w:pPr>
        <w:pStyle w:val="FirstParagraph"/>
      </w:pPr>
      <w:r>
        <w:t xml:space="preserve">Mexico City, the bustling metropolis home to over 21 million residents, faces unprecedented environmental and resource management challenges. As the capital of Mexico, this megacity grapples with severe air pollution (ranking among the world's most polluted urban centers), water scarcity exacerbated by climate change, and unsustainable waste management systems. These crises demand innovative solutions from specialized professionals—particularly Chemical Engineers—who possess the technical expertise to design sustainable industrial processes and environmental remediation systems. This Research Proposal outlines a critical study focused on developing advanced chemical engineering methodologies tailored to Mexico City's unique urban ecosystem, positioning it as a model for megacities globally.</w:t>
      </w:r>
    </w:p>
    <w:bookmarkEnd w:id="20"/>
    <w:bookmarkStart w:id="21" w:name="problem-statement"/>
    <w:p>
      <w:pPr>
        <w:pStyle w:val="Heading2"/>
      </w:pPr>
      <w:r>
        <w:t xml:space="preserve">Problem Statement</w:t>
      </w:r>
    </w:p>
    <w:p>
      <w:pPr>
        <w:pStyle w:val="FirstParagraph"/>
      </w:pPr>
      <w:r>
        <w:t xml:space="preserve">Mexico City's environmental degradation stems from industrial emissions, vehicular pollution, and inadequate wastewater treatment. Current infrastructure struggles to handle the city's 50% annual waste generation growth rate (INEGI, 2023), while chemical industries contribute significantly to toxic particulate matter (PM2.5). Traditional Chemical Engineering approaches—often designed for temperate climates or rural settings—are ill-suited for Mexico City's high altitude (2,240 meters), extreme temperature fluctuations, and complex socio-economic fabric. Without context-specific solutions, air quality indices will continue to exceed WHO safety thresholds by 300%, threatening public health and economic productivity. A dedicated Research Proposal addressing these gaps is imperative for Mexico's national sustainability goals.</w:t>
      </w:r>
    </w:p>
    <w:bookmarkEnd w:id="21"/>
    <w:bookmarkStart w:id="22" w:name="research-objectives"/>
    <w:p>
      <w:pPr>
        <w:pStyle w:val="Heading2"/>
      </w:pPr>
      <w:r>
        <w:t xml:space="preserve">Research Objectives</w:t>
      </w:r>
    </w:p>
    <w:p>
      <w:pPr>
        <w:numPr>
          <w:ilvl w:val="0"/>
          <w:numId w:val="1001"/>
        </w:numPr>
        <w:pStyle w:val="Compact"/>
      </w:pPr>
      <w:r>
        <w:t xml:space="preserve">To design a scalable, low-energy wastewater treatment system utilizing locally sourced biosorbents for heavy metal removal from Mexico City's polluted Xochimilco canals.</w:t>
      </w:r>
    </w:p>
    <w:p>
      <w:pPr>
        <w:numPr>
          <w:ilvl w:val="0"/>
          <w:numId w:val="1001"/>
        </w:numPr>
        <w:pStyle w:val="Compact"/>
      </w:pPr>
      <w:r>
        <w:t xml:space="preserve">To develop predictive models for industrial emission control using machine learning algorithms trained on Mexico City-specific atmospheric data.</w:t>
      </w:r>
    </w:p>
    <w:p>
      <w:pPr>
        <w:numPr>
          <w:ilvl w:val="0"/>
          <w:numId w:val="1001"/>
        </w:numPr>
        <w:pStyle w:val="Compact"/>
      </w:pPr>
      <w:r>
        <w:t xml:space="preserve">To optimize circular economy frameworks where chemical byproducts (e.g., from food processing industries in Iztapalapa) are converted into biodegradable packaging materials, reducing landfill burden by 40%.</w:t>
      </w:r>
    </w:p>
    <w:p>
      <w:pPr>
        <w:numPr>
          <w:ilvl w:val="0"/>
          <w:numId w:val="1001"/>
        </w:numPr>
        <w:pStyle w:val="Compact"/>
      </w:pPr>
      <w:r>
        <w:t xml:space="preserve">To create a community-driven air quality monitoring network integrating IoT sensors and Chemical Engineering principles for real-time pollution response.</w:t>
      </w:r>
    </w:p>
    <w:bookmarkEnd w:id="22"/>
    <w:bookmarkStart w:id="23" w:name="literature-review"/>
    <w:p>
      <w:pPr>
        <w:pStyle w:val="Heading2"/>
      </w:pPr>
      <w:r>
        <w:t xml:space="preserve">Literature Review</w:t>
      </w:r>
    </w:p>
    <w:p>
      <w:pPr>
        <w:pStyle w:val="FirstParagraph"/>
      </w:pPr>
      <w:r>
        <w:t xml:space="preserve">Existing studies on urban environmental engineering predominantly focus on European or North American contexts. While promising research exists on adsorbent materials (e.g., graphene oxide composites), its application in Mexico City's high-sulfate water remains unexplored (García et al., 2021). Similarly, emission control models fail to account for Mexico City's unique topography and wind patterns, leading to 35% lower accuracy in pollution forecasts (SEDEMA Report, 2022). This gap underscores the necessity of a dedicated Research Proposal centered on Mexico City. Crucially, Chemical Engineers must collaborate with urban planners and community organizations—such as the UNAM Urban Studies Center—to ensure technological solutions align with cultural practices and local governance structures.</w:t>
      </w:r>
    </w:p>
    <w:bookmarkEnd w:id="23"/>
    <w:bookmarkStart w:id="24" w:name="methodology"/>
    <w:p>
      <w:pPr>
        <w:pStyle w:val="Heading2"/>
      </w:pPr>
      <w:r>
        <w:t xml:space="preserve">Methodology</w:t>
      </w:r>
    </w:p>
    <w:p>
      <w:pPr>
        <w:pStyle w:val="FirstParagraph"/>
      </w:pPr>
      <w:r>
        <w:t xml:space="preserve">This interdisciplinary project will deploy a three-phase approach:</w:t>
      </w:r>
    </w:p>
    <w:p>
      <w:pPr>
        <w:numPr>
          <w:ilvl w:val="0"/>
          <w:numId w:val="1002"/>
        </w:numPr>
        <w:pStyle w:val="Compact"/>
      </w:pPr>
      <w:r>
        <w:rPr>
          <w:bCs/>
          <w:b/>
        </w:rPr>
        <w:t xml:space="preserve">Field Assessment (Months 1-4):</w:t>
      </w:r>
      <w:r>
        <w:t xml:space="preserve"> </w:t>
      </w:r>
      <w:r>
        <w:t xml:space="preserve">Partnering with the Mexico City Environmental Secretariat (SEMARNAT) and local universities (UNAM, IPN), we will collect water/air samples across 12 high-risk zones. A Chemical Engineer will lead lab analysis of contaminant profiles using HPLC and GC-MS.</w:t>
      </w:r>
    </w:p>
    <w:p>
      <w:pPr>
        <w:numPr>
          <w:ilvl w:val="0"/>
          <w:numId w:val="1002"/>
        </w:numPr>
        <w:pStyle w:val="Compact"/>
      </w:pPr>
      <w:r>
        <w:rPr>
          <w:bCs/>
          <w:b/>
        </w:rPr>
        <w:t xml:space="preserve">Technology Design (Months 5-10):</w:t>
      </w:r>
      <w:r>
        <w:t xml:space="preserve"> </w:t>
      </w:r>
      <w:r>
        <w:t xml:space="preserve">Using computational fluid dynamics (CFD) modeling, the team will simulate pollutant dispersion under Mexico City's specific meteorological conditions. Biosorbent materials from agricultural waste (e.g., avocado pits from Coyoacán) will be engineered for cost-effective heavy metal capture.</w:t>
      </w:r>
    </w:p>
    <w:p>
      <w:pPr>
        <w:numPr>
          <w:ilvl w:val="0"/>
          <w:numId w:val="1002"/>
        </w:numPr>
        <w:pStyle w:val="Compact"/>
      </w:pPr>
      <w:r>
        <w:rPr>
          <w:bCs/>
          <w:b/>
        </w:rPr>
        <w:t xml:space="preserve">Pilot Implementation &amp; Community Integration (Months 11-24):</w:t>
      </w:r>
      <w:r>
        <w:t xml:space="preserve"> </w:t>
      </w:r>
      <w:r>
        <w:t xml:space="preserve">A pilot system will be installed in Iztapalapa's industrial corridor. The Chemical Engineer will train local technicians in maintenance protocols while co-designing community engagement workshops with neighborhood associations (Comités de Vigilancia).</w:t>
      </w:r>
    </w:p>
    <w:p>
      <w:pPr>
        <w:pStyle w:val="FirstParagraph"/>
      </w:pPr>
      <w:r>
        <w:t xml:space="preserve">Data collection will comply with Mexico’s National Institute of Statistics and Geography (INEGI) standards, ensuring regulatory alignment. All solutions prioritize energy efficiency—leveraging Mexico City's high solar irradiance to power treatment systems via photovoltaic integration.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tangible outcomes with transformative potential for Mexico City:</w:t>
      </w:r>
    </w:p>
    <w:p>
      <w:pPr>
        <w:numPr>
          <w:ilvl w:val="0"/>
          <w:numId w:val="1003"/>
        </w:numPr>
        <w:pStyle w:val="Compact"/>
      </w:pPr>
      <w:r>
        <w:t xml:space="preserve">A functional prototype wastewater system reducing copper/lead levels by 95% in Xochimilco, with production costs 60% lower than conventional methods.</w:t>
      </w:r>
    </w:p>
    <w:p>
      <w:pPr>
        <w:numPr>
          <w:ilvl w:val="0"/>
          <w:numId w:val="1003"/>
        </w:numPr>
        <w:pStyle w:val="Compact"/>
      </w:pPr>
      <w:r>
        <w:t xml:space="preserve">An AI-driven emission forecasting platform adopted by SEMARNAT for real-time industrial permitting decisions.</w:t>
      </w:r>
    </w:p>
    <w:p>
      <w:pPr>
        <w:numPr>
          <w:ilvl w:val="0"/>
          <w:numId w:val="1003"/>
        </w:numPr>
        <w:pStyle w:val="Compact"/>
      </w:pPr>
      <w:r>
        <w:t xml:space="preserve">A circular economy hub converting food waste into packaging, creating 150+ green jobs in marginalized communities by Year 3.</w:t>
      </w:r>
    </w:p>
    <w:p>
      <w:pPr>
        <w:pStyle w:val="FirstParagraph"/>
      </w:pPr>
      <w:r>
        <w:t xml:space="preserve">Strategically, this work positions Mexico City as a global leader in urban chemical engineering. For the Mexican government, it aligns with the National Climate Change Strategy (2021-2030) and supports UN Sustainable Development Goals 6 (Clean Water) and 11 (Sustainable Cities). Critically, it establishes a replicable framework for Chemical Engineers across Latin America—addressing urbanization challenges in cities like São Paulo or Lima through Mexico City's localized innovation.</w:t>
      </w:r>
    </w:p>
    <w:bookmarkEnd w:id="25"/>
    <w:bookmarkStart w:id="26" w:name="timeline-and-budget"/>
    <w:p>
      <w:pPr>
        <w:pStyle w:val="Heading2"/>
      </w:pPr>
      <w:r>
        <w:t xml:space="preserve">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Field Assessment</w:t>
            </w:r>
          </w:p>
        </w:tc>
        <w:tc>
          <w:tcPr/>
          <w:p>
            <w:pPr>
              <w:pStyle w:val="Compact"/>
              <w:jc w:val="left"/>
            </w:pPr>
            <w:r>
              <w:t xml:space="preserve">4 months</w:t>
            </w:r>
          </w:p>
        </w:tc>
        <w:tc>
          <w:tcPr/>
          <w:p>
            <w:pPr>
              <w:pStyle w:val="Compact"/>
              <w:jc w:val="left"/>
            </w:pPr>
            <w:r>
              <w:t xml:space="preserve">Spatial contaminant maps, baseline data report</w:t>
            </w:r>
          </w:p>
        </w:tc>
        <w:tc>
          <w:tcPr/>
          <w:p>
            <w:pPr>
              <w:pStyle w:val="Compact"/>
              <w:jc w:val="left"/>
            </w:pPr>
            <w:r>
              <w:t xml:space="preserve">$85,000</w:t>
            </w:r>
          </w:p>
        </w:tc>
      </w:tr>
      <w:tr>
        <w:tc>
          <w:tcPr/>
          <w:p>
            <w:pPr>
              <w:pStyle w:val="Compact"/>
              <w:jc w:val="left"/>
            </w:pPr>
            <w:r>
              <w:t xml:space="preserve">Technology Design</w:t>
            </w:r>
          </w:p>
        </w:tc>
        <w:tc>
          <w:tcPr/>
          <w:p>
            <w:pPr>
              <w:pStyle w:val="Compact"/>
              <w:jc w:val="left"/>
            </w:pPr>
            <w:r>
              <w:t xml:space="preserve">6 months</w:t>
            </w:r>
          </w:p>
        </w:tc>
        <w:tc>
          <w:tcPr/>
          <w:p>
            <w:pPr>
              <w:pStyle w:val="Compact"/>
              <w:jc w:val="left"/>
            </w:pPr>
            <w:r>
              <w:t xml:space="preserve">Biosorbent prototype, AI emission model v1.0</w:t>
            </w:r>
          </w:p>
        </w:tc>
        <w:tc>
          <w:tcPr/>
          <w:p>
            <w:pPr>
              <w:pStyle w:val="Compact"/>
              <w:jc w:val="left"/>
            </w:pPr>
            <w:r>
              <w:t xml:space="preserve">$175,000</w:t>
            </w:r>
          </w:p>
        </w:tc>
      </w:tr>
      <w:tr>
        <w:tc>
          <w:tcPr/>
          <w:p>
            <w:pPr>
              <w:pStyle w:val="Compact"/>
              <w:jc w:val="left"/>
            </w:pPr>
            <w:r>
              <w:t xml:space="preserve">Pilot Implementation &amp; Training</w:t>
            </w:r>
          </w:p>
        </w:tc>
        <w:tc>
          <w:tcPr/>
          <w:p>
            <w:pPr>
              <w:pStyle w:val="Compact"/>
              <w:jc w:val="left"/>
            </w:pPr>
            <w:r>
              <w:t xml:space="preserve">12 months</w:t>
            </w:r>
          </w:p>
        </w:tc>
        <w:tc>
          <w:tcPr/>
          <w:p>
            <w:pPr>
              <w:pStyle w:val="Compact"/>
              <w:jc w:val="left"/>
            </w:pPr>
            <w:r>
              <w:t xml:space="preserve">Circular economy hub operational, community training manuals</w:t>
            </w:r>
          </w:p>
        </w:tc>
        <w:tc>
          <w:tcPr/>
          <w:p>
            <w:pPr>
              <w:pStyle w:val="Compact"/>
              <w:jc w:val="left"/>
            </w:pPr>
            <w:r>
              <w:t xml:space="preserve">$240,000</w:t>
            </w:r>
          </w:p>
        </w:tc>
      </w:tr>
      <w:tr>
        <w:tc>
          <w:tcPr/>
          <w:p>
            <w:pPr>
              <w:pStyle w:val="Compact"/>
              <w:jc w:val="left"/>
            </w:pPr>
            <w:r>
              <w:t xml:space="preserve">Evaluation &amp; Scaling Strategy</w:t>
            </w:r>
          </w:p>
        </w:tc>
        <w:tc>
          <w:tcPr/>
          <w:p>
            <w:pPr>
              <w:pStyle w:val="Compact"/>
              <w:jc w:val="left"/>
            </w:pPr>
            <w:r>
              <w:t xml:space="preserve">2 months</w:t>
            </w:r>
          </w:p>
        </w:tc>
        <w:tc>
          <w:tcPr/>
          <w:p>
            <w:pPr>
              <w:pStyle w:val="Compact"/>
              <w:jc w:val="left"/>
            </w:pPr>
            <w:r>
              <w:t xml:space="preserve">National implementation roadmap, policy briefs for SEMARNAT</w:t>
            </w:r>
          </w:p>
        </w:tc>
        <w:tc>
          <w:tcPr/>
          <w:p>
            <w:pPr>
              <w:pStyle w:val="Compact"/>
              <w:jc w:val="left"/>
            </w:pPr>
            <w:r>
              <w:t xml:space="preserve">$55,000</w:t>
            </w:r>
          </w:p>
        </w:tc>
      </w:tr>
    </w:tbl>
    <w:p>
      <w:pPr>
        <w:pStyle w:val="BodyText"/>
      </w:pPr>
      <w:r>
        <w:t xml:space="preserve">Total Budget: $555,000. Funding will seek support from CONACYT (Mexico's National Council of Science and Technology), the Inter-American Development Bank, and private sector partners (e.g., Cemex, which operates in Mexico City).</w:t>
      </w:r>
    </w:p>
    <w:bookmarkEnd w:id="26"/>
    <w:bookmarkStart w:id="28" w:name="conclusion"/>
    <w:p>
      <w:pPr>
        <w:pStyle w:val="Heading2"/>
      </w:pPr>
      <w:r>
        <w:t xml:space="preserve">Conclusion</w:t>
      </w:r>
    </w:p>
    <w:p>
      <w:pPr>
        <w:pStyle w:val="FirstParagraph"/>
      </w:pPr>
      <w:r>
        <w:t xml:space="preserve">This Research Proposal represents a pivotal investment in Mexico City's environmental resilience. As a Chemical Engineer embedded within the city’s ecosystem, I am uniquely positioned to bridge laboratory innovation with on-the-ground implementation. By centering solutions in Mexico City’s context—addressing its altitude, cultural diversity, and industrial landscape—we will generate scalable knowledge that transcends borders. The success of this project will redefine what it means to be a Chemical Engineer in the 21st century: not just a technologist, but an urban architect of sustainability. For Mexico City to thrive as a global metropolis by 2050, we must act now with engineering ingenuity tailored to its soul. This is the call for action that this Research Proposal answers.</w:t>
      </w:r>
    </w:p>
    <w:bookmarkStart w:id="27" w:name="references"/>
    <w:p>
      <w:pPr>
        <w:pStyle w:val="Heading3"/>
      </w:pPr>
      <w:r>
        <w:t xml:space="preserve">References</w:t>
      </w:r>
    </w:p>
    <w:p>
      <w:pPr>
        <w:numPr>
          <w:ilvl w:val="0"/>
          <w:numId w:val="1004"/>
        </w:numPr>
        <w:pStyle w:val="Compact"/>
      </w:pPr>
      <w:r>
        <w:t xml:space="preserve">García, M. et al. (2021). "Biosorbents from Agroindustrial Waste for Water Treatment." *Journal of Environmental Chemical Engineering*, 9(4), 105689.</w:t>
      </w:r>
    </w:p>
    <w:p>
      <w:pPr>
        <w:numPr>
          <w:ilvl w:val="0"/>
          <w:numId w:val="1004"/>
        </w:numPr>
        <w:pStyle w:val="Compact"/>
      </w:pPr>
      <w:r>
        <w:t xml:space="preserve">SEDEMA. (2022). *Mexico City Air Quality Report*. Secretaría de Medio Ambiente, Mexico City.</w:t>
      </w:r>
    </w:p>
    <w:p>
      <w:pPr>
        <w:numPr>
          <w:ilvl w:val="0"/>
          <w:numId w:val="1004"/>
        </w:numPr>
        <w:pStyle w:val="Compact"/>
      </w:pPr>
      <w:r>
        <w:t xml:space="preserve">INEGI. (2023). *Waste Generation Statistics in Metropolitan Zones*. National Institute of Statistics and Geography.</w:t>
      </w:r>
    </w:p>
    <w:p>
      <w:pPr>
        <w:numPr>
          <w:ilvl w:val="0"/>
          <w:numId w:val="1004"/>
        </w:numPr>
        <w:pStyle w:val="Compact"/>
      </w:pPr>
      <w:r>
        <w:t xml:space="preserve">UNDP. (2021). *Sustainable Cities and Communities: Global Report*. United Nations Development Programme.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Mexico City</dc:title>
  <dc:creator/>
  <dc:language>en</dc:language>
  <cp:keywords/>
  <dcterms:created xsi:type="dcterms:W3CDTF">2025-12-10T13:59:39Z</dcterms:created>
  <dcterms:modified xsi:type="dcterms:W3CDTF">2025-12-10T13:59:39Z</dcterms:modified>
</cp:coreProperties>
</file>

<file path=docProps/custom.xml><?xml version="1.0" encoding="utf-8"?>
<Properties xmlns="http://schemas.openxmlformats.org/officeDocument/2006/custom-properties" xmlns:vt="http://schemas.openxmlformats.org/officeDocument/2006/docPropsVTypes"/>
</file>