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Petrochemical</w:t>
      </w:r>
      <w:r>
        <w:t xml:space="preserve"> </w:t>
      </w:r>
      <w:r>
        <w:t xml:space="preserve">Processes</w:t>
      </w:r>
      <w:r>
        <w:t xml:space="preserve"> </w:t>
      </w:r>
      <w:r>
        <w:t xml:space="preserve">for</w:t>
      </w:r>
      <w:r>
        <w:t xml:space="preserve"> </w:t>
      </w:r>
      <w:r>
        <w:t xml:space="preserve">Russia</w:t>
      </w:r>
      <w:r>
        <w:t xml:space="preserve"> </w:t>
      </w:r>
      <w:r>
        <w:t xml:space="preserve">Moscow</w:t>
      </w:r>
    </w:p>
    <w:bookmarkStart w:id="28" w:name="X368d459c8026994960fda6ed5c70cda7ff90bf9"/>
    <w:p>
      <w:pPr>
        <w:pStyle w:val="Heading1"/>
      </w:pPr>
      <w:r>
        <w:t xml:space="preserve">Research Proposal: Developing Next-Generation Catalytic Systems for Decarbonized Petrochemical Production in Russia Moscow</w:t>
      </w:r>
    </w:p>
    <w:bookmarkStart w:id="20" w:name="introduction-and-context"/>
    <w:p>
      <w:pPr>
        <w:pStyle w:val="Heading2"/>
      </w:pPr>
      <w:r>
        <w:t xml:space="preserve">Introduction and Context</w:t>
      </w:r>
    </w:p>
    <w:p>
      <w:pPr>
        <w:pStyle w:val="FirstParagraph"/>
      </w:pPr>
      <w:r>
        <w:t xml:space="preserve">The Chemical Engineering sector stands at a pivotal juncture within Russia's industrial landscape, particularly in Moscow, the nation's economic and technological epicenter. As the capital city hosts major energy conglomerates like Gazprom and Rusnano, alongside research institutions such as the Russian Academy of Sciences (RAS) and Moscow Institute of Physics and Technology (MIPT), there is an urgent need for innovative</w:t>
      </w:r>
      <w:r>
        <w:t xml:space="preserve"> </w:t>
      </w:r>
      <w:r>
        <w:rPr>
          <w:iCs/>
          <w:i/>
        </w:rPr>
        <w:t xml:space="preserve">Chemical Engineer</w:t>
      </w:r>
      <w:r>
        <w:t xml:space="preserve"> </w:t>
      </w:r>
      <w:r>
        <w:t xml:space="preserve">solutions to address Russia's dual challenge: maintaining economic competitiveness in global petrochemical markets while meeting stringent environmental targets. This</w:t>
      </w:r>
      <w:r>
        <w:t xml:space="preserve"> </w:t>
      </w:r>
      <w:r>
        <w:rPr>
          <w:bCs/>
          <w:b/>
        </w:rPr>
        <w:t xml:space="preserve">Research Proposal</w:t>
      </w:r>
      <w:r>
        <w:t xml:space="preserve"> </w:t>
      </w:r>
      <w:r>
        <w:t xml:space="preserve">outlines a critical initiative to develop advanced catalytic technologies specifically tailored for Moscow's industrial ecosystem, positioning the city as a hub for sustainable chemical manufacturing within Russia.</w:t>
      </w:r>
    </w:p>
    <w:bookmarkEnd w:id="20"/>
    <w:bookmarkStart w:id="21" w:name="problem-statement"/>
    <w:p>
      <w:pPr>
        <w:pStyle w:val="Heading2"/>
      </w:pPr>
      <w:r>
        <w:t xml:space="preserve">Problem Statement</w:t>
      </w:r>
    </w:p>
    <w:p>
      <w:pPr>
        <w:pStyle w:val="FirstParagraph"/>
      </w:pPr>
      <w:r>
        <w:t xml:space="preserve">Russia's chemical industry, heavily reliant on traditional oil and gas feedstocks, faces mounting pressure to reduce carbon intensity. Current processes in Moscow-based refineries and petrochemical plants (e.g., Sibur, Lukoil) exhibit significant greenhouse gas emissions per unit of output. The lack of indigenous catalyst technologies for efficient conversion of lower-value feedstocks into high-demand polymers and chemicals represents a critical gap. Furthermore, Russian</w:t>
      </w:r>
      <w:r>
        <w:t xml:space="preserve"> </w:t>
      </w:r>
      <w:r>
        <w:rPr>
          <w:iCs/>
          <w:i/>
        </w:rPr>
        <w:t xml:space="preserve">Chemical Engineer</w:t>
      </w:r>
      <w:r>
        <w:t xml:space="preserve"> </w:t>
      </w:r>
      <w:r>
        <w:t xml:space="preserve">professionals often lack specialized training in cutting-edge decarbonization methodologies aligned with national energy strategy (e.g., Russia's 2035 Climate Strategy). This project directly addresses the urgent need to develop catalysts enabling carbon-neutral production pathways within the Moscow industrial corridor.</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Novel Catalysts:</w:t>
      </w:r>
      <w:r>
        <w:t xml:space="preserve"> </w:t>
      </w:r>
      <w:r>
        <w:t xml:space="preserve">Design and synthesize bifunctional nanocatalysts for electrochemical reduction of CO</w:t>
      </w:r>
      <w:r>
        <w:rPr>
          <w:vertAlign w:val="subscript"/>
        </w:rPr>
        <w:t xml:space="preserve">2</w:t>
      </w:r>
      <w:r>
        <w:t xml:space="preserve"> </w:t>
      </w:r>
      <w:r>
        <w:t xml:space="preserve">into ethylene (a key polymer precursor) using Moscow-based renewable energy sources (e.g., Siberian hydropower integration).</w:t>
      </w:r>
    </w:p>
    <w:p>
      <w:pPr>
        <w:numPr>
          <w:ilvl w:val="0"/>
          <w:numId w:val="1001"/>
        </w:numPr>
        <w:pStyle w:val="Compact"/>
      </w:pPr>
      <w:r>
        <w:rPr>
          <w:bCs/>
          <w:b/>
        </w:rPr>
        <w:t xml:space="preserve">Optimize Process Integration:</w:t>
      </w:r>
      <w:r>
        <w:t xml:space="preserve"> </w:t>
      </w:r>
      <w:r>
        <w:t xml:space="preserve">Engineer a pilot-scale membrane reactor system adaptable to existing Moscow petrochemical infrastructure, minimizing retrofit costs for local plants.</w:t>
      </w:r>
    </w:p>
    <w:p>
      <w:pPr>
        <w:numPr>
          <w:ilvl w:val="0"/>
          <w:numId w:val="1001"/>
        </w:numPr>
        <w:pStyle w:val="Compact"/>
      </w:pPr>
      <w:r>
        <w:rPr>
          <w:bCs/>
          <w:b/>
        </w:rPr>
        <w:t xml:space="preserve">Train Specialized Workforce:</w:t>
      </w:r>
      <w:r>
        <w:t xml:space="preserve"> </w:t>
      </w:r>
      <w:r>
        <w:t xml:space="preserve">Establish a dedicated training module at MIPT and Skolkovo Innovation Center focused on sustainable chemical engineering practices relevant to Russia's energy sector.</w:t>
      </w:r>
    </w:p>
    <w:p>
      <w:pPr>
        <w:numPr>
          <w:ilvl w:val="0"/>
          <w:numId w:val="1001"/>
        </w:numPr>
        <w:pStyle w:val="Compact"/>
      </w:pPr>
      <w:r>
        <w:rPr>
          <w:bCs/>
          <w:b/>
        </w:rPr>
        <w:t xml:space="preserve">Economic Feasibility Assessment:</w:t>
      </w:r>
      <w:r>
        <w:t xml:space="preserve"> </w:t>
      </w:r>
      <w:r>
        <w:t xml:space="preserve">Conduct techno-economic analysis for implementation across Moscow's chemical cluster, benchmarking against conventional processes under current Russian carbon pricing frameworks.</w:t>
      </w:r>
    </w:p>
    <w:bookmarkEnd w:id="22"/>
    <w:bookmarkStart w:id="23" w:name="methodology"/>
    <w:p>
      <w:pPr>
        <w:pStyle w:val="Heading2"/>
      </w:pPr>
      <w:r>
        <w:t xml:space="preserve">Methodology</w:t>
      </w:r>
    </w:p>
    <w:p>
      <w:pPr>
        <w:pStyle w:val="FirstParagraph"/>
      </w:pPr>
      <w:r>
        <w:t xml:space="preserve">This interdisciplinary project leverages Moscow's unique research ecosystem. Phase 1 (Months 1-18) involves computational design of catalysts using AI-driven molecular simulations at the Skolkovo Institute of Science and Technology, followed by synthesis and testing at RAS's Institute of Catalysis. Phase 2 (Months 19-36) focuses on scaling to a pilot reactor system within the Moscow Industrial Park, collaborating with Sibur's R&amp;D center in Troitsk. Crucially, this</w:t>
      </w:r>
      <w:r>
        <w:t xml:space="preserve"> </w:t>
      </w:r>
      <w:r>
        <w:rPr>
          <w:iCs/>
          <w:i/>
        </w:rPr>
        <w:t xml:space="preserve">Chemical Engineer</w:t>
      </w:r>
      <w:r>
        <w:t xml:space="preserve">-led initiative integrates real-time data from Gazprom Neft's Moscow facilities to refine process parameters. Methodology emphasizes compliance with Russian GOST standards and alignment with the Federal Law "On Environmental Protection" (No. 7-FZ), ensuring regulatory readiness for deployment in Russia.</w:t>
      </w:r>
    </w:p>
    <w:bookmarkEnd w:id="23"/>
    <w:bookmarkStart w:id="24" w:name="significance-for-russia-moscow"/>
    <w:p>
      <w:pPr>
        <w:pStyle w:val="Heading2"/>
      </w:pPr>
      <w:r>
        <w:t xml:space="preserve">Significance for Russia Moscow</w:t>
      </w:r>
    </w:p>
    <w:p>
      <w:pPr>
        <w:pStyle w:val="FirstParagraph"/>
      </w:pPr>
      <w:r>
        <w:t xml:space="preserve">This</w:t>
      </w:r>
      <w:r>
        <w:t xml:space="preserve"> </w:t>
      </w:r>
      <w:r>
        <w:rPr>
          <w:bCs/>
          <w:b/>
        </w:rPr>
        <w:t xml:space="preserve">Research Proposal</w:t>
      </w:r>
      <w:r>
        <w:t xml:space="preserve"> </w:t>
      </w:r>
      <w:r>
        <w:t xml:space="preserve">delivers transformative value to Moscow specifically:</w:t>
      </w:r>
    </w:p>
    <w:p>
      <w:pPr>
        <w:numPr>
          <w:ilvl w:val="0"/>
          <w:numId w:val="1002"/>
        </w:numPr>
        <w:pStyle w:val="Compact"/>
      </w:pPr>
      <w:r>
        <w:rPr>
          <w:iCs/>
          <w:i/>
        </w:rPr>
        <w:t xml:space="preserve">Economic Impact:</w:t>
      </w:r>
      <w:r>
        <w:t xml:space="preserve"> </w:t>
      </w:r>
      <w:r>
        <w:t xml:space="preserve">Reduces reliance on imported catalyst technology (costing ~$150M annually for Russian industry) by enabling domestic production. Estimated ROI: 3.2x within 7 years through energy savings and carbon credit generation.</w:t>
      </w:r>
    </w:p>
    <w:p>
      <w:pPr>
        <w:numPr>
          <w:ilvl w:val="0"/>
          <w:numId w:val="1002"/>
        </w:numPr>
        <w:pStyle w:val="Compact"/>
      </w:pPr>
      <w:r>
        <w:rPr>
          <w:iCs/>
          <w:i/>
        </w:rPr>
        <w:t xml:space="preserve">Environmental Compliance:</w:t>
      </w:r>
      <w:r>
        <w:t xml:space="preserve"> </w:t>
      </w:r>
      <w:r>
        <w:t xml:space="preserve">Directly supports Moscow's "Green Moscow 2030" initiative, targeting a 50% reduction in industrial emissions by 2035. A single pilot plant could offset ~85,000 tons of CO</w:t>
      </w:r>
      <w:r>
        <w:rPr>
          <w:vertAlign w:val="subscript"/>
        </w:rPr>
        <w:t xml:space="preserve">2</w:t>
      </w:r>
      <w:r>
        <w:t xml:space="preserve">/year.</w:t>
      </w:r>
    </w:p>
    <w:p>
      <w:pPr>
        <w:numPr>
          <w:ilvl w:val="0"/>
          <w:numId w:val="1002"/>
        </w:numPr>
        <w:pStyle w:val="Compact"/>
      </w:pPr>
      <w:r>
        <w:rPr>
          <w:iCs/>
          <w:i/>
        </w:rPr>
        <w:t xml:space="preserve">Strategic Positioning:</w:t>
      </w:r>
      <w:r>
        <w:t xml:space="preserve"> </w:t>
      </w:r>
      <w:r>
        <w:t xml:space="preserve">Establishes Moscow as Russia's primary hub for green chemical engineering R&amp;D, attracting global partnerships (e.g., with BASF's Moscow subsidiary) and positioning Russian</w:t>
      </w:r>
      <w:r>
        <w:t xml:space="preserve"> </w:t>
      </w:r>
      <w:r>
        <w:rPr>
          <w:iCs/>
          <w:i/>
        </w:rPr>
        <w:t xml:space="preserve">Chemical Engineer</w:t>
      </w:r>
      <w:r>
        <w:t xml:space="preserve"> </w:t>
      </w:r>
      <w:r>
        <w:t xml:space="preserve">graduates at the forefront of sustainable industry transformation.</w:t>
      </w:r>
    </w:p>
    <w:p>
      <w:pPr>
        <w:numPr>
          <w:ilvl w:val="0"/>
          <w:numId w:val="1002"/>
        </w:numPr>
        <w:pStyle w:val="Compact"/>
      </w:pPr>
      <w:r>
        <w:rPr>
          <w:iCs/>
          <w:i/>
        </w:rPr>
        <w:t xml:space="preserve">Talent Development:</w:t>
      </w:r>
      <w:r>
        <w:t xml:space="preserve"> </w:t>
      </w:r>
      <w:r>
        <w:t xml:space="preserve">Creates a pipeline of 25+ specialized</w:t>
      </w:r>
      <w:r>
        <w:t xml:space="preserve"> </w:t>
      </w:r>
      <w:r>
        <w:rPr>
          <w:iCs/>
          <w:i/>
        </w:rPr>
        <w:t xml:space="preserve">Chemical Engineer</w:t>
      </w:r>
      <w:r>
        <w:t xml:space="preserve">s annually through Skolkovo-MIPT collaboration, addressing Russia's critical skills shortage in advanced materials (only 17% of Russian chemical engineers possess carbon-neutral process design training per Rosstat 2023).</w:t>
      </w:r>
    </w:p>
    <w:bookmarkEnd w:id="24"/>
    <w:bookmarkStart w:id="25" w:name="implementation-framework-in-moscow"/>
    <w:p>
      <w:pPr>
        <w:pStyle w:val="Heading2"/>
      </w:pPr>
      <w:r>
        <w:t xml:space="preserve">Implementation Framework in Moscow</w:t>
      </w:r>
    </w:p>
    <w:p>
      <w:pPr>
        <w:pStyle w:val="FirstParagraph"/>
      </w:pPr>
      <w:r>
        <w:t xml:space="preserve">The project will operate under the auspices of the Moscow Government's "Industrial Innovation Program," with key partners including:</w:t>
      </w:r>
    </w:p>
    <w:p>
      <w:pPr>
        <w:numPr>
          <w:ilvl w:val="0"/>
          <w:numId w:val="1003"/>
        </w:numPr>
        <w:pStyle w:val="Compact"/>
      </w:pPr>
      <w:r>
        <w:t xml:space="preserve">Russian Academy of Sciences (RAS) - Catalyst Synthesis &amp; Characterization</w:t>
      </w:r>
    </w:p>
    <w:p>
      <w:pPr>
        <w:numPr>
          <w:ilvl w:val="0"/>
          <w:numId w:val="1003"/>
        </w:numPr>
        <w:pStyle w:val="Compact"/>
      </w:pPr>
      <w:r>
        <w:t xml:space="preserve">Skolkovo Innovation Center - AI Modeling &amp; Commercialization</w:t>
      </w:r>
    </w:p>
    <w:p>
      <w:pPr>
        <w:numPr>
          <w:ilvl w:val="0"/>
          <w:numId w:val="1003"/>
        </w:numPr>
        <w:pStyle w:val="Compact"/>
      </w:pPr>
      <w:r>
        <w:t xml:space="preserve">Moscow State University (MSU) - Regulatory Compliance &amp; Training Module Development</w:t>
      </w:r>
    </w:p>
    <w:p>
      <w:pPr>
        <w:numPr>
          <w:ilvl w:val="0"/>
          <w:numId w:val="1003"/>
        </w:numPr>
        <w:pStyle w:val="Compact"/>
      </w:pPr>
      <w:r>
        <w:t xml:space="preserve">Sibur Holding - Industrial Pilot Validation Site (Troitsk, Moscow Oblast)</w:t>
      </w:r>
    </w:p>
    <w:p>
      <w:pPr>
        <w:pStyle w:val="FirstParagraph"/>
      </w:pPr>
      <w:r>
        <w:t xml:space="preserve">Geographic focus remains strictly within Moscow's innovation ecosystem. The pilot facility will be co-located at the Skolkovo campus to facilitate rapid iteration with industrial partners and leverage existing infrastructure for high-power electricity supply from Moscow's grid. All research adheres to Russian data sovereignty laws (Federal Law No. 152-FZ), ensuring secure handling of proprietary process data.</w:t>
      </w:r>
    </w:p>
    <w:bookmarkEnd w:id="25"/>
    <w:bookmarkStart w:id="26" w:name="expected-outcomes-and-timeline"/>
    <w:p>
      <w:pPr>
        <w:pStyle w:val="Heading2"/>
      </w:pPr>
      <w:r>
        <w:t xml:space="preserve">Expected Outcomes and Timeline</w:t>
      </w:r>
    </w:p>
    <w:p>
      <w:pPr>
        <w:pStyle w:val="FirstParagraph"/>
      </w:pPr>
      <w:r>
        <w:t xml:space="preserve">Timeline</w:t>
      </w:r>
    </w:p>
    <w:p>
      <w:pPr>
        <w:pStyle w:val="BodyText"/>
      </w:pPr>
      <w:r>
        <w:t xml:space="preserve">Key Deliverables</w:t>
      </w:r>
    </w:p>
    <w:p>
      <w:pPr>
        <w:pStyle w:val="BodyText"/>
      </w:pPr>
      <w:r>
        <w:t xml:space="preserve">Year 1</w:t>
      </w:r>
    </w:p>
    <w:p>
      <w:pPr>
        <w:pStyle w:val="BodyText"/>
      </w:pPr>
      <w:r>
        <w:t xml:space="preserve">Catalyst library validated for CO</w:t>
      </w:r>
      <w:r>
        <w:rPr>
          <w:vertAlign w:val="subscript"/>
        </w:rPr>
        <w:t xml:space="preserve">2</w:t>
      </w:r>
      <w:r>
        <w:t xml:space="preserve"> </w:t>
      </w:r>
      <w:r>
        <w:t xml:space="preserve">conversion efficiency &amp; stability; Training module blueprint approved by Moscow Education Ministry.</w:t>
      </w:r>
    </w:p>
    <w:p>
      <w:pPr>
        <w:pStyle w:val="BodyText"/>
      </w:pPr>
      <w:r>
        <w:t xml:space="preserve">Year 2</w:t>
      </w:r>
    </w:p>
    <w:p>
      <w:pPr>
        <w:pStyle w:val="BodyText"/>
      </w:pPr>
      <w:r>
        <w:t xml:space="preserve">Pilot reactor prototype operational at Skolkovo; First carbon-neutral polymer batch produced.</w:t>
      </w:r>
    </w:p>
    <w:p>
      <w:pPr>
        <w:pStyle w:val="BodyText"/>
      </w:pPr>
      <w:r>
        <w:t xml:space="preserve">Year 3</w:t>
      </w:r>
    </w:p>
    <w:p>
      <w:pPr>
        <w:pStyle w:val="BodyText"/>
      </w:pPr>
      <w:r>
        <w:rPr>
          <w:iCs/>
          <w:i/>
        </w:rPr>
        <w:t xml:space="preserve">Commercialization roadmap for 5+ Moscow chemical plants; Full-scale pilot implementation (Sibur Troitsk) approved.</w:t>
      </w:r>
    </w:p>
    <w:bookmarkEnd w:id="26"/>
    <w:bookmarkStart w:id="27" w:name="conclusion"/>
    <w:p>
      <w:pPr>
        <w:pStyle w:val="Heading2"/>
      </w:pPr>
      <w:r>
        <w:t xml:space="preserve">Conclusion</w:t>
      </w:r>
    </w:p>
    <w:p>
      <w:pPr>
        <w:pStyle w:val="FirstParagraph"/>
      </w:pPr>
      <w:r>
        <w:t xml:space="preserve">This comprehensive</w:t>
      </w:r>
      <w:r>
        <w:t xml:space="preserve"> </w:t>
      </w:r>
      <w:r>
        <w:rPr>
          <w:bCs/>
          <w:b/>
        </w:rPr>
        <w:t xml:space="preserve">Research Proposal</w:t>
      </w:r>
      <w:r>
        <w:t xml:space="preserve"> </w:t>
      </w:r>
      <w:r>
        <w:t xml:space="preserve">presents a strategic opportunity to advance the role of the</w:t>
      </w:r>
      <w:r>
        <w:t xml:space="preserve"> </w:t>
      </w:r>
      <w:r>
        <w:rPr>
          <w:iCs/>
          <w:i/>
        </w:rPr>
        <w:t xml:space="preserve">Chemical Engineer</w:t>
      </w:r>
      <w:r>
        <w:t xml:space="preserve"> </w:t>
      </w:r>
      <w:r>
        <w:t xml:space="preserve">as a catalyst for sustainable industrial transformation in Russia Moscow. By embedding innovation within Moscow's unique ecosystem—leveraging world-class research institutions, strategic industrial partnerships, and local regulatory frameworks—we address critical national priorities while positioning Russia at the forefront of green chemical engineering. The project transcends academic research; it delivers actionable technology to decarbonize the heart of Russia's chemical manufacturing base, directly supporting Moscow's vision as a global leader in sustainable industry. Investment in this initiative promises not only environmental and economic returns but also secures Moscow’s leadership in training the next generation of Russian</w:t>
      </w:r>
      <w:r>
        <w:t xml:space="preserve"> </w:t>
      </w:r>
      <w:r>
        <w:rPr>
          <w:iCs/>
          <w:i/>
        </w:rPr>
        <w:t xml:space="preserve">Chemical Engineer</w:t>
      </w:r>
      <w:r>
        <w:t xml:space="preserve">s equipped to solve 21st-century industrial challenges.</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Petrochemical Processes for Russia Moscow</dc:title>
  <dc:creator/>
  <dc:language>en</dc:language>
  <cp:keywords/>
  <dcterms:created xsi:type="dcterms:W3CDTF">2026-07-23T15:13:04Z</dcterms:created>
  <dcterms:modified xsi:type="dcterms:W3CDTF">2026-07-23T15:13:04Z</dcterms:modified>
</cp:coreProperties>
</file>

<file path=docProps/custom.xml><?xml version="1.0" encoding="utf-8"?>
<Properties xmlns="http://schemas.openxmlformats.org/officeDocument/2006/custom-properties" xmlns:vt="http://schemas.openxmlformats.org/officeDocument/2006/docPropsVTypes"/>
</file>