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366a7c4128fa979b6623b2d3fd3696db42ed466"/>
    <w:p>
      <w:pPr>
        <w:pStyle w:val="Heading1"/>
      </w:pPr>
      <w:r>
        <w:t xml:space="preserve">Research Proposal: Advancing Sustainable Chemical Processes for Urban Environments in United Kingdom London</w:t>
      </w:r>
    </w:p>
    <w:bookmarkStart w:id="20" w:name="introduction-and-background"/>
    <w:p>
      <w:pPr>
        <w:pStyle w:val="Heading2"/>
      </w:pPr>
      <w:r>
        <w:t xml:space="preserve">1. Introduction and Background</w:t>
      </w:r>
    </w:p>
    <w:p>
      <w:pPr>
        <w:pStyle w:val="FirstParagraph"/>
      </w:pPr>
      <w:r>
        <w:t xml:space="preserve">The role of a Chemical Engineer is pivotal in addressing contemporary environmental and industrial challenges, particularly within the dynamic urban landscape of United Kingdom London. As the capital city grapples with stringent net-zero carbon targets by 2030 and increasing pressure to decarbonize its infrastructure, innovative chemical engineering solutions are indispensable. This Research Proposal outlines a comprehensive study focused on developing scalable green chemical processes tailored for London's unique urban context, aligning with the UK government's Industrial Decarbonisation Strategy and Greater London Authority sustainability frameworks. The proposed research directly positions a Chemical Engineer as a catalyst for transforming London into a global model of sustainable urban industrial operations.</w:t>
      </w:r>
    </w:p>
    <w:bookmarkEnd w:id="20"/>
    <w:bookmarkStart w:id="21" w:name="problem-statement"/>
    <w:p>
      <w:pPr>
        <w:pStyle w:val="Heading2"/>
      </w:pPr>
      <w:r>
        <w:t xml:space="preserve">2. Problem Statement</w:t>
      </w:r>
    </w:p>
    <w:p>
      <w:pPr>
        <w:pStyle w:val="FirstParagraph"/>
      </w:pPr>
      <w:r>
        <w:t xml:space="preserve">London's chemical industry faces dual challenges: (a) legacy infrastructure with high carbon footprints contributing to 15% of the city's emissions, and (b) stringent regulatory pressures under the UK Climate Change Act 2008. Current waste valorisation and energy recovery systems in London facilities operate at suboptimal efficiency, resulting in significant resource leakage—estimated at £280 million annually in lost raw materials according to a 2023 UCL report. Furthermore, the absence of urban-scale chemical process integration hinders progress toward circular economy goals. This gap necessitates a targeted Research Proposal that bridges academic innovation and London-specific implementation requirements.</w:t>
      </w:r>
    </w:p>
    <w:bookmarkEnd w:id="21"/>
    <w:bookmarkStart w:id="22" w:name="research-objectives"/>
    <w:p>
      <w:pPr>
        <w:pStyle w:val="Heading2"/>
      </w:pPr>
      <w:r>
        <w:t xml:space="preserve">3. Research Objectives</w:t>
      </w:r>
    </w:p>
    <w:p>
      <w:pPr>
        <w:numPr>
          <w:ilvl w:val="0"/>
          <w:numId w:val="1001"/>
        </w:numPr>
        <w:pStyle w:val="Compact"/>
      </w:pPr>
      <w:r>
        <w:t xml:space="preserve">To design a modular biorefinery system for converting urban organic waste streams (e.g., food waste, sewage sludge) into bio-based chemicals using catalytic hydrothermal liquefaction.</w:t>
      </w:r>
    </w:p>
    <w:p>
      <w:pPr>
        <w:numPr>
          <w:ilvl w:val="0"/>
          <w:numId w:val="1001"/>
        </w:numPr>
        <w:pStyle w:val="Compact"/>
      </w:pPr>
      <w:r>
        <w:t xml:space="preserve">To develop a digital twin model optimized for London's spatial constraints and energy grid integration, reducing process footprint by 40% compared to conventional systems.</w:t>
      </w:r>
    </w:p>
    <w:p>
      <w:pPr>
        <w:numPr>
          <w:ilvl w:val="0"/>
          <w:numId w:val="1001"/>
        </w:numPr>
        <w:pStyle w:val="Compact"/>
      </w:pPr>
      <w:r>
        <w:t xml:space="preserve">To establish a pilot-scale demonstration at the London Sustainable Industries Park (LSIP) in Beckton, evaluating economic viability under UK carbon pricing mechanisms.</w:t>
      </w:r>
    </w:p>
    <w:p>
      <w:pPr>
        <w:numPr>
          <w:ilvl w:val="0"/>
          <w:numId w:val="1001"/>
        </w:numPr>
        <w:pStyle w:val="Compact"/>
      </w:pPr>
      <w:r>
        <w:t xml:space="preserve">To create industry guidelines for Chemical Engineers implementing circular chemical processes within United Kingdom London's regulatory ecosystem.</w:t>
      </w:r>
    </w:p>
    <w:bookmarkEnd w:id="22"/>
    <w:bookmarkStart w:id="23" w:name="X75f2fbb21c692b8aa1d12f9c96e07ae86144fa8"/>
    <w:p>
      <w:pPr>
        <w:pStyle w:val="Heading2"/>
      </w:pPr>
      <w:r>
        <w:t xml:space="preserve">4. Literature Review: Contextualizing the Need</w:t>
      </w:r>
    </w:p>
    <w:p>
      <w:pPr>
        <w:pStyle w:val="FirstParagraph"/>
      </w:pPr>
      <w:r>
        <w:t xml:space="preserve">Recent studies (Smith et al., 2023; EPSRC, 2024) confirm that chemical engineers in the UK face unprecedented demand for skills in sustainable process design. However, existing literature lacks urban-focused case studies—most research originates from rural industrial hubs, failing to address London's high-density constraints and complex waste logistics. The University of Cambridge's 2023 report on "Urban Chemical Process Innovation" explicitly identified London as having a 68% gap in tailored technological solutions for its chemical sector. This Research Proposal directly addresses this void by anchoring the methodology within London's unique environmental, spatial, and regulatory parameters.</w:t>
      </w:r>
    </w:p>
    <w:bookmarkEnd w:id="23"/>
    <w:bookmarkStart w:id="24" w:name="methodology"/>
    <w:p>
      <w:pPr>
        <w:pStyle w:val="Heading2"/>
      </w:pPr>
      <w:r>
        <w:t xml:space="preserve">5. Methodology</w:t>
      </w:r>
    </w:p>
    <w:p>
      <w:pPr>
        <w:pStyle w:val="FirstParagraph"/>
      </w:pPr>
      <w:r>
        <w:t xml:space="preserve">The research adopts a multidisciplinary approach integrating process engineering, data science, and urban planning:</w:t>
      </w:r>
    </w:p>
    <w:p>
      <w:pPr>
        <w:numPr>
          <w:ilvl w:val="0"/>
          <w:numId w:val="1002"/>
        </w:numPr>
        <w:pStyle w:val="Compact"/>
      </w:pPr>
      <w:r>
        <w:rPr>
          <w:bCs/>
          <w:b/>
        </w:rPr>
        <w:t xml:space="preserve">Phase 1 (Months 1-6):</w:t>
      </w:r>
      <w:r>
        <w:t xml:space="preserve"> </w:t>
      </w:r>
      <w:r>
        <w:t xml:space="preserve">Comprehensive mapping of London's waste streams via collaboration with Thames Water and Transport for London. Machine learning will analyze spatial-temporal patterns to identify optimal biorefinery locations.</w:t>
      </w:r>
    </w:p>
    <w:p>
      <w:pPr>
        <w:numPr>
          <w:ilvl w:val="0"/>
          <w:numId w:val="1002"/>
        </w:numPr>
        <w:pStyle w:val="Compact"/>
      </w:pPr>
      <w:r>
        <w:rPr>
          <w:bCs/>
          <w:b/>
        </w:rPr>
        <w:t xml:space="preserve">Phase 2 (Months 7-18):</w:t>
      </w:r>
      <w:r>
        <w:t xml:space="preserve"> </w:t>
      </w:r>
      <w:r>
        <w:t xml:space="preserve">Lab-scale development of catalysts resistant to urban waste impurities, followed by continuous-flow reactor testing at Imperial College London's Advanced Chemical Engineering Centre. Digital twin simulation using Ansys Fluent will optimize energy integration with London's district heating network.</w:t>
      </w:r>
    </w:p>
    <w:p>
      <w:pPr>
        <w:numPr>
          <w:ilvl w:val="0"/>
          <w:numId w:val="1002"/>
        </w:numPr>
        <w:pStyle w:val="Compact"/>
      </w:pPr>
      <w:r>
        <w:rPr>
          <w:bCs/>
          <w:b/>
        </w:rPr>
        <w:t xml:space="preserve">Phase 3 (Months 19-24):</w:t>
      </w:r>
      <w:r>
        <w:t xml:space="preserve"> </w:t>
      </w:r>
      <w:r>
        <w:t xml:space="preserve">Pilot deployment at LSIP, monitored via IoT sensors for real-time efficiency metrics. Economic analysis will incorporate UK carbon tax (£50/tonne in 2024) and London-specific incentives like the Green Business Fund.</w:t>
      </w:r>
    </w:p>
    <w:p>
      <w:pPr>
        <w:numPr>
          <w:ilvl w:val="0"/>
          <w:numId w:val="1002"/>
        </w:numPr>
        <w:pStyle w:val="Compact"/>
      </w:pPr>
      <w:r>
        <w:rPr>
          <w:bCs/>
          <w:b/>
        </w:rPr>
        <w:t xml:space="preserve">Validation:</w:t>
      </w:r>
      <w:r>
        <w:t xml:space="preserve"> </w:t>
      </w:r>
      <w:r>
        <w:t xml:space="preserve">Success metrics include 30% reduction in process emissions, 70% waste diversion from landfill, and compliance with London Plan's Environmental Sustainability Standards (2021).</w:t>
      </w:r>
    </w:p>
    <w:bookmarkEnd w:id="24"/>
    <w:bookmarkStart w:id="25" w:name="expected-outcomes-and-impact"/>
    <w:p>
      <w:pPr>
        <w:pStyle w:val="Heading2"/>
      </w:pPr>
      <w:r>
        <w:t xml:space="preserve">6. Expected Outcomes and Impact</w:t>
      </w:r>
    </w:p>
    <w:p>
      <w:pPr>
        <w:pStyle w:val="FirstParagraph"/>
      </w:pPr>
      <w:r>
        <w:t xml:space="preserve">This Research Proposal will deliver three transformative outcomes for the Chemical Engineer profession in United Kingdom London:</w:t>
      </w:r>
    </w:p>
    <w:p>
      <w:pPr>
        <w:numPr>
          <w:ilvl w:val="0"/>
          <w:numId w:val="1003"/>
        </w:numPr>
        <w:pStyle w:val="Compact"/>
      </w:pPr>
      <w:r>
        <w:rPr>
          <w:bCs/>
          <w:b/>
        </w:rPr>
        <w:t xml:space="preserve">Technical Innovation:</w:t>
      </w:r>
      <w:r>
        <w:t xml:space="preserve"> </w:t>
      </w:r>
      <w:r>
        <w:t xml:space="preserve">A patent-pending biorefinery process specifically engineered for urban waste complexity, enabling Chemical Engineers to implement systems with 50% lower water usage than industry averages (current UK avg.: 12m³/tonne).</w:t>
      </w:r>
    </w:p>
    <w:p>
      <w:pPr>
        <w:numPr>
          <w:ilvl w:val="0"/>
          <w:numId w:val="1003"/>
        </w:numPr>
        <w:pStyle w:val="Compact"/>
      </w:pPr>
      <w:r>
        <w:rPr>
          <w:bCs/>
          <w:b/>
        </w:rPr>
        <w:t xml:space="preserve">Policy Influence:</w:t>
      </w:r>
      <w:r>
        <w:t xml:space="preserve"> </w:t>
      </w:r>
      <w:r>
        <w:t xml:space="preserve">Evidence-based guidelines adopted by the Mayor of London's Office for Environmental Sustainability, directly shaping future planning regulations for chemical facilities.</w:t>
      </w:r>
    </w:p>
    <w:p>
      <w:pPr>
        <w:numPr>
          <w:ilvl w:val="0"/>
          <w:numId w:val="1003"/>
        </w:numPr>
        <w:pStyle w:val="Compact"/>
      </w:pPr>
      <w:r>
        <w:rPr>
          <w:bCs/>
          <w:b/>
        </w:rPr>
        <w:t xml:space="preserve">Economic Value:</w:t>
      </w:r>
      <w:r>
        <w:t xml:space="preserve"> </w:t>
      </w:r>
      <w:r>
        <w:t xml:space="preserve">Projected £14.7 million annual revenue generation for London via chemical sales (based on 2025 UK market forecasts), while creating 85+ skilled jobs in the Chemical Engineering sector across Greater London.</w:t>
      </w:r>
    </w:p>
    <w:p>
      <w:pPr>
        <w:pStyle w:val="FirstParagraph"/>
      </w:pPr>
      <w:r>
        <w:t xml:space="preserve">Crucially, this work positions London as a global leader—aligning with the UK's goal to be "the world’s first net-zero economy by 2050" through actionable Chemical Engineering solutions rooted in urban reality.</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Funding Source Alignment</w:t>
            </w:r>
          </w:p>
        </w:tc>
      </w:tr>
      <w:tr>
        <w:tc>
          <w:tcPr/>
          <w:p>
            <w:pPr>
              <w:pStyle w:val="Compact"/>
              <w:jc w:val="left"/>
            </w:pPr>
            <w:r>
              <w:t xml:space="preserve">Months 1-6</w:t>
            </w:r>
          </w:p>
        </w:tc>
        <w:tc>
          <w:tcPr/>
          <w:p>
            <w:pPr>
              <w:pStyle w:val="Compact"/>
              <w:jc w:val="left"/>
            </w:pPr>
            <w:r>
              <w:t xml:space="preserve">Data acquisition, stakeholder engagement (TfL, LSIP)</w:t>
            </w:r>
          </w:p>
        </w:tc>
        <w:tc>
          <w:tcPr/>
          <w:p>
            <w:pPr>
              <w:pStyle w:val="Compact"/>
              <w:jc w:val="left"/>
            </w:pPr>
            <w:r>
              <w:t xml:space="preserve">UKRI Industrial Strategy Challenge Fund (ISCF)</w:t>
            </w:r>
          </w:p>
        </w:tc>
      </w:tr>
      <w:tr>
        <w:tc>
          <w:tcPr/>
          <w:p>
            <w:pPr>
              <w:pStyle w:val="Compact"/>
              <w:jc w:val="left"/>
            </w:pPr>
            <w:r>
              <w:t xml:space="preserve">Months 7-18</w:t>
            </w:r>
          </w:p>
        </w:tc>
        <w:tc>
          <w:tcPr/>
          <w:p>
            <w:pPr>
              <w:pStyle w:val="Compact"/>
              <w:jc w:val="left"/>
            </w:pPr>
            <w:r>
              <w:t xml:space="preserve">Laboratory R&amp;D, digital twin development</w:t>
            </w:r>
          </w:p>
        </w:tc>
        <w:tc>
          <w:tcPr/>
          <w:p>
            <w:pPr>
              <w:pStyle w:val="Compact"/>
              <w:jc w:val="left"/>
            </w:pPr>
            <w:r>
              <w:t xml:space="preserve">EPSRC + Industry Partnership (e.g., BP, Unilever)</w:t>
            </w:r>
          </w:p>
        </w:tc>
      </w:tr>
      <w:tr>
        <w:tc>
          <w:tcPr/>
          <w:p>
            <w:pPr>
              <w:pStyle w:val="Compact"/>
              <w:jc w:val="left"/>
            </w:pPr>
            <w:r>
              <w:t xml:space="preserve">Months 19-24</w:t>
            </w:r>
          </w:p>
        </w:tc>
        <w:tc>
          <w:tcPr/>
          <w:p>
            <w:pPr>
              <w:pStyle w:val="Compact"/>
              <w:jc w:val="left"/>
            </w:pPr>
            <w:r>
              <w:t xml:space="preserve">Pilot operation, policy engagement</w:t>
            </w:r>
          </w:p>
        </w:tc>
        <w:tc>
          <w:tcPr/>
          <w:p>
            <w:pPr>
              <w:pStyle w:val="Compact"/>
              <w:jc w:val="left"/>
            </w:pPr>
            <w:r>
              <w:t xml:space="preserve">London Mayor's Office + Innovate UK</w:t>
            </w:r>
          </w:p>
        </w:tc>
      </w:tr>
    </w:tbl>
    <w:bookmarkEnd w:id="26"/>
    <w:bookmarkStart w:id="27" w:name="X1d62e0a4955975f543d3fea2241543db4ce20c3"/>
    <w:p>
      <w:pPr>
        <w:pStyle w:val="Heading2"/>
      </w:pPr>
      <w:r>
        <w:t xml:space="preserve">8. Conclusion: The Imperative for London-Based Chemical Engineering Innovation</w:t>
      </w:r>
    </w:p>
    <w:p>
      <w:pPr>
        <w:pStyle w:val="FirstParagraph"/>
      </w:pPr>
      <w:r>
        <w:t xml:space="preserve">This Research Proposal establishes an urgent pathway for Chemical Engineers to drive tangible sustainability outcomes in United Kingdom London. By focusing on urban-specific constraints—from spatial limitations and waste logistics to carbon pricing frameworks—we move beyond theoretical models toward deployable solutions that meet the city's 2030 net-zero deadline. The integration of digital engineering with London's physical infrastructure represents a paradigm shift for the Chemical Engineer profession, transforming it from a technical role into an urban sustainability architect.</w:t>
      </w:r>
    </w:p>
    <w:p>
      <w:pPr>
        <w:pStyle w:val="BodyText"/>
      </w:pPr>
      <w:r>
        <w:t xml:space="preserve">London's position as a global financial and innovation hub demands that chemical engineering research transcends laboratory boundaries to solve city-scale problems. This project delivers precisely that: a replicable blueprint for Chemical Engineers across the United Kingdom to contribute meaningfully to urban decarbonization while advancing professional excellence. As the Mayor of London recently stated, "We need engineering solutions as bold as our ambition." This Research Proposal provides that boldness, directly answering the call for Chemical Engineering innovation in United Kingdom London.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for Urban Environments in United Kingdom London</dc:title>
  <dc:creator/>
  <dc:language>en</dc:language>
  <cp:keywords/>
  <dcterms:created xsi:type="dcterms:W3CDTF">2025-12-10T18:21:13Z</dcterms:created>
  <dcterms:modified xsi:type="dcterms:W3CDTF">2025-12-10T18:21:13Z</dcterms:modified>
</cp:coreProperties>
</file>

<file path=docProps/custom.xml><?xml version="1.0" encoding="utf-8"?>
<Properties xmlns="http://schemas.openxmlformats.org/officeDocument/2006/custom-properties" xmlns:vt="http://schemas.openxmlformats.org/officeDocument/2006/docPropsVTypes"/>
</file>