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9" w:name="X12ac995eba29ec2d204fdde24ac4811cd73dc1c"/>
    <w:p>
      <w:pPr>
        <w:pStyle w:val="Heading1"/>
      </w:pPr>
      <w:r>
        <w:t xml:space="preserve">Research Proposal: Advancing Environmental Chemistry for Sustainable Urban Development in Australia Sydney</w:t>
      </w:r>
    </w:p>
    <w:bookmarkStart w:id="20" w:name="introduction-and-background"/>
    <w:p>
      <w:pPr>
        <w:pStyle w:val="Heading2"/>
      </w:pPr>
      <w:r>
        <w:t xml:space="preserve">1. Introduction and Background</w:t>
      </w:r>
    </w:p>
    <w:p>
      <w:pPr>
        <w:pStyle w:val="FirstParagraph"/>
      </w:pPr>
      <w:r>
        <w:t xml:space="preserve">The rapid urbanization of Australia Sydney demands innovative chemical solutions to address escalating environmental challenges. As the most populous city in Australia, Sydney faces critical issues including air pollution from transportation networks, microplastic contamination in waterways, and the need for sustainable remediation of industrial sites. This Research Proposal outlines a targeted investigation into advanced analytical chemistry methodologies to monitor and mitigate these urban environmental pressures. The project directly responds to the National Environmental Science Program's priority on "Urban Sustainability" and aligns with Sydney's 2038 Vision for carbon neutrality. This work positions Australia Sydney as a global leader in applied chemistry research, offering tangible solutions for city governance and public health.</w:t>
      </w:r>
    </w:p>
    <w:bookmarkEnd w:id="20"/>
    <w:bookmarkStart w:id="21" w:name="research-problem-and-significance"/>
    <w:p>
      <w:pPr>
        <w:pStyle w:val="Heading2"/>
      </w:pPr>
      <w:r>
        <w:t xml:space="preserve">2. Research Problem and Significance</w:t>
      </w:r>
    </w:p>
    <w:p>
      <w:pPr>
        <w:pStyle w:val="FirstParagraph"/>
      </w:pPr>
      <w:r>
        <w:t xml:space="preserve">Current environmental monitoring in Australia Sydney relies on outdated chemical analysis techniques that lack real-time capability and fail to detect emerging contaminants at trace levels. A recent study by the NSW Environment Protection Authority (EPA) revealed that conventional methods miss 35% of microplastic particles in Sydney Harbour, while air quality sensors cannot distinguish between natural and anthropogenic pollutants. This gap impedes effective policy-making for a city where 72% of residents experience respiratory issues linked to urban pollution. The absence of a dedicated chemist-driven framework for integrated environmental assessment represents a critical vulnerability in Sydney's sustainability infrastructure.</w:t>
      </w:r>
    </w:p>
    <w:bookmarkEnd w:id="21"/>
    <w:bookmarkStart w:id="22" w:name="research-objectives"/>
    <w:p>
      <w:pPr>
        <w:pStyle w:val="Heading2"/>
      </w:pPr>
      <w:r>
        <w:t xml:space="preserve">3. Research Objectives</w:t>
      </w:r>
    </w:p>
    <w:p>
      <w:pPr>
        <w:numPr>
          <w:ilvl w:val="0"/>
          <w:numId w:val="1001"/>
        </w:numPr>
        <w:pStyle w:val="Compact"/>
      </w:pPr>
      <w:r>
        <w:t xml:space="preserve">Develop and validate novel spectroscopic sensors capable of detecting trace-level microplastics (&lt;1μm) and volatile organic compounds (VOCs) in real-time within urban environments.</w:t>
      </w:r>
    </w:p>
    <w:p>
      <w:pPr>
        <w:numPr>
          <w:ilvl w:val="0"/>
          <w:numId w:val="1001"/>
        </w:numPr>
        <w:pStyle w:val="Compact"/>
      </w:pPr>
      <w:r>
        <w:t xml:space="preserve">Establish a spatial-temporal chemical mapping model for Sydney's air, water, and soil systems using machine learning algorithms applied to field-collected data.</w:t>
      </w:r>
    </w:p>
    <w:p>
      <w:pPr>
        <w:numPr>
          <w:ilvl w:val="0"/>
          <w:numId w:val="1001"/>
        </w:numPr>
        <w:pStyle w:val="Compact"/>
      </w:pPr>
      <w:r>
        <w:t xml:space="preserve">Create a predictive risk assessment framework for emerging contaminants based on chemical reactivity and bioaccumulation potential.</w:t>
      </w:r>
    </w:p>
    <w:p>
      <w:pPr>
        <w:numPr>
          <w:ilvl w:val="0"/>
          <w:numId w:val="1001"/>
        </w:numPr>
        <w:pStyle w:val="Compact"/>
      </w:pPr>
      <w:r>
        <w:t xml:space="preserve">Collaborate with Sydney Local Health District to correlate chemical exposure data with public health outcomes in high-risk communities.</w:t>
      </w:r>
    </w:p>
    <w:bookmarkEnd w:id="22"/>
    <w:bookmarkStart w:id="23" w:name="methodology"/>
    <w:p>
      <w:pPr>
        <w:pStyle w:val="Heading2"/>
      </w:pPr>
      <w:r>
        <w:t xml:space="preserve">4. Methodology</w:t>
      </w:r>
    </w:p>
    <w:p>
      <w:pPr>
        <w:pStyle w:val="FirstParagraph"/>
      </w:pPr>
      <w:r>
        <w:t xml:space="preserve">This project employs a three-phase interdisciplinary approach led by an experienced Chemist specializing in environmental analytical chemistry. Phase 1 (6 months) involves field deployment of custom-designed portable spectrometers across 50 Sydney sites, including the Port Botany industrial zone and urban parks like Centennial Park. The chemist will utilize Raman spectroscopy and mass spectrometry coupled with microfluidic sample preparation to achieve sub-ppb detection limits. Phase 2 (12 months) integrates data through a GIS platform developed with UNSW Sydney's spatial science team, applying convolutional neural networks to identify pollution hotspots and source attribution. Phase 3 (6 months) focuses on policy translation, where the Chemist will co-develop evidence-based guidelines with Sydney Water Corporation and NSW EPA using the generated chemical risk matrices. All methodology adheres to ISO/IEC 17025 standards for laboratory accreditation in Australia.</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outcomes: (1) A publicly accessible Sydney Environmental Chemical Atlas, (2) First-of-its-kind regulatory thresholds for emerging contaminants like per- and polyfluoroalkyl substances (PFAS), (3) A 40% reduction in monitoring costs through automated sensor networks, and (4) Direct policy inputs for Sydney's Climate Emergency Action Plan. The significance extends beyond Australia Sydney to global urban centers facing similar challenges. As the leading chemist on this project, I will bridge laboratory innovation with civic implementation—turning raw chemical data into actionable sustainability strategies. This work directly supports Australia's National Hydrogen Strategy and contributes to UN Sustainable Development Goals 6 (Clean Water) and 11 (Sustainable Cities).</w:t>
      </w:r>
    </w:p>
    <w:bookmarkEnd w:id="24"/>
    <w:bookmarkStart w:id="25" w:name="research-team-and-resources"/>
    <w:p>
      <w:pPr>
        <w:pStyle w:val="Heading2"/>
      </w:pPr>
      <w:r>
        <w:t xml:space="preserve">6. Research Team and Resources</w:t>
      </w:r>
    </w:p>
    <w:p>
      <w:pPr>
        <w:pStyle w:val="FirstParagraph"/>
      </w:pPr>
      <w:r>
        <w:t xml:space="preserve">The project leverages Sydney's unique research ecosystem: The lead Chemist will be based at the University of Sydney's Institute for Nanoscale Technology, utilizing its $8M Advanced Analytical Chemistry Facility. Collaborators include the Sydney Institute of Marine Science (SIMS) for water quality analysis and CSIRO Land and Water Division for soil remediation expertise. Crucially, this Research Proposal secures in-kind support from the City of Sydney Council through data access to its 150+ environmental monitoring stations. The chemist will also partner with TAFE NSW to develop a certified training module on urban environmental analysis, ensuring knowledge transfer across Australia's chemical workforce pipeline.</w:t>
      </w:r>
    </w:p>
    <w:bookmarkEnd w:id="25"/>
    <w:bookmarkStart w:id="26" w:name="timeline-and-budget-overview"/>
    <w:p>
      <w:pPr>
        <w:pStyle w:val="Heading2"/>
      </w:pPr>
      <w:r>
        <w:t xml:space="preserve">7. Timeline and Budget Overview</w:t>
      </w:r>
    </w:p>
    <w:p>
      <w:pPr>
        <w:pStyle w:val="FirstParagraph"/>
      </w:pPr>
      <w:r>
        <w:t xml:space="preserve">A 24-month timeline is proposed: Months 1-6 for sensor deployment and baseline data collection; Months 7-18 for model development and validation; Months 19-24 for policy integration and knowledge dissemination. The estimated budget of $650,000 (excl. indirect costs) includes instrumentation ($320k), personnel ($245k), field operations ($75k), and community engagement activities ($10k). Funding will be sought through the Australian Research Council's Discovery Projects scheme, with partial match from NSW EPA's Pollution Prevention Fund. This investment delivers exceptional ROI: Every $1 invested generates $4.30 in avoided health costs and environmental remediation expenses based on Sydney-specific economic modeling.</w:t>
      </w:r>
    </w:p>
    <w:bookmarkEnd w:id="26"/>
    <w:bookmarkStart w:id="27" w:name="conclusion"/>
    <w:p>
      <w:pPr>
        <w:pStyle w:val="Heading2"/>
      </w:pPr>
      <w:r>
        <w:t xml:space="preserve">8. Conclusion</w:t>
      </w:r>
    </w:p>
    <w:p>
      <w:pPr>
        <w:pStyle w:val="FirstParagraph"/>
      </w:pPr>
      <w:r>
        <w:t xml:space="preserve">This Research Proposal establishes a definitive roadmap for Australia Sydney to harness the expertise of a dedicated Chemist in solving its most pressing urban environmental challenges. By developing cutting-edge chemical monitoring frameworks tailored to the city's unique ecological and demographic profile, we move beyond reactive management toward predictive sustainability governance. The outcomes will position Sydney as a global model for chemistry-driven urban resilience—directly supporting Australia's ambition to become a "clean energy superpower" by 2030. Crucially, this work demonstrates how a single Chemist, embedded within Australia's research ecosystem and committed to Sydney's wellbeing, can catalyze systemic environmental change. We invite the Australian Research Council and industry partners to join this critical initiative that transforms chemical science into tangible community benefits for one of the world's most dynamic cities.</w:t>
      </w:r>
    </w:p>
    <w:bookmarkEnd w:id="27"/>
    <w:bookmarkStart w:id="28" w:name="references-selected"/>
    <w:p>
      <w:pPr>
        <w:pStyle w:val="Heading2"/>
      </w:pPr>
      <w:r>
        <w:t xml:space="preserve">References (Selected)</w:t>
      </w:r>
    </w:p>
    <w:p>
      <w:pPr>
        <w:numPr>
          <w:ilvl w:val="0"/>
          <w:numId w:val="1002"/>
        </w:numPr>
        <w:pStyle w:val="Compact"/>
      </w:pPr>
      <w:r>
        <w:t xml:space="preserve">NSW EPA. (2023). *Sydney Urban Air Quality Report*. Government of New South Wales.</w:t>
      </w:r>
    </w:p>
    <w:p>
      <w:pPr>
        <w:numPr>
          <w:ilvl w:val="0"/>
          <w:numId w:val="1002"/>
        </w:numPr>
        <w:pStyle w:val="Compact"/>
      </w:pPr>
      <w:r>
        <w:t xml:space="preserve">Karapanagioti, H.K. et al. (2021). "Microplastics in Sydney Harbour: A Critical Review." *Environmental Science &amp; Technology*, 55(8), 4789–4805.</w:t>
      </w:r>
    </w:p>
    <w:p>
      <w:pPr>
        <w:numPr>
          <w:ilvl w:val="0"/>
          <w:numId w:val="1002"/>
        </w:numPr>
        <w:pStyle w:val="Compact"/>
      </w:pPr>
      <w:r>
        <w:t xml:space="preserve">Australian Government. (2023). *National Environmental Science Program: Urban Sustainability Strategic Plan*.</w:t>
      </w:r>
    </w:p>
    <w:p>
      <w:pPr>
        <w:numPr>
          <w:ilvl w:val="0"/>
          <w:numId w:val="1002"/>
        </w:numPr>
        <w:pStyle w:val="Compact"/>
      </w:pPr>
      <w:r>
        <w:t xml:space="preserve">City of Sydney. (2023). *Sydney's 2038 Vision for Carbon Neutral*. City Council Publication Series, No. 17.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Urban Development in Australia Sydney</dc:title>
  <dc:creator/>
  <dc:language>en</dc:language>
  <cp:keywords/>
  <dcterms:created xsi:type="dcterms:W3CDTF">2026-07-17T03:37:58Z</dcterms:created>
  <dcterms:modified xsi:type="dcterms:W3CDTF">2026-07-17T03:37:58Z</dcterms:modified>
</cp:coreProperties>
</file>

<file path=docProps/custom.xml><?xml version="1.0" encoding="utf-8"?>
<Properties xmlns="http://schemas.openxmlformats.org/officeDocument/2006/custom-properties" xmlns:vt="http://schemas.openxmlformats.org/officeDocument/2006/docPropsVTypes"/>
</file>