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1dc62d3182d47f3a1425321dc2e9ae397b7847f"/>
    <w:p>
      <w:pPr>
        <w:pStyle w:val="Heading1"/>
      </w:pPr>
      <w:r>
        <w:t xml:space="preserve">Research Proposal: Development of Environmentally Sustainable Catalysts for Petrochemical Applications in Riyadh, Saudi Arabia</w:t>
      </w:r>
    </w:p>
    <w:bookmarkStart w:id="20" w:name="introduction-and-background"/>
    <w:p>
      <w:pPr>
        <w:pStyle w:val="Heading2"/>
      </w:pPr>
      <w:r>
        <w:t xml:space="preserve">1. Introduction and Background</w:t>
      </w:r>
    </w:p>
    <w:p>
      <w:pPr>
        <w:pStyle w:val="FirstParagraph"/>
      </w:pPr>
      <w:r>
        <w:t xml:space="preserve">The Kingdom of Saudi Arabia has positioned itself as a global energy leader through Vision 2030, driving transformative growth in chemical manufacturing, renewable energy, and sustainable industrial practices. As the capital city Riyadh serves as the epicenter of this economic revolution, the demand for innovative chemical solutions aligned with national sustainability goals has never been greater. This</w:t>
      </w:r>
      <w:r>
        <w:t xml:space="preserve"> </w:t>
      </w:r>
      <w:r>
        <w:rPr>
          <w:bCs/>
          <w:b/>
        </w:rPr>
        <w:t xml:space="preserve">Research Proposal</w:t>
      </w:r>
      <w:r>
        <w:t xml:space="preserve"> </w:t>
      </w:r>
      <w:r>
        <w:t xml:space="preserve">outlines a critical initiative to develop advanced catalytic materials that address pressing environmental challenges within Saudi Arabia's petrochemical sector while supporting Riyadh's strategic industrial expansion. The proposed work directly engages a highly skilled</w:t>
      </w:r>
      <w:r>
        <w:t xml:space="preserve"> </w:t>
      </w:r>
      <w:r>
        <w:rPr>
          <w:bCs/>
          <w:b/>
        </w:rPr>
        <w:t xml:space="preserve">Chemist</w:t>
      </w:r>
      <w:r>
        <w:t xml:space="preserve"> </w:t>
      </w:r>
      <w:r>
        <w:t xml:space="preserve">with expertise in heterogeneous catalysis, materials science, and sustainable process engineering—positioning them to contribute meaningfully to Saudi Arabia's vision for greener industrial ecosystems.</w:t>
      </w:r>
    </w:p>
    <w:bookmarkEnd w:id="20"/>
    <w:bookmarkStart w:id="21" w:name="problem-statement"/>
    <w:p>
      <w:pPr>
        <w:pStyle w:val="Heading2"/>
      </w:pPr>
      <w:r>
        <w:t xml:space="preserve">2. Problem Statement</w:t>
      </w:r>
    </w:p>
    <w:p>
      <w:pPr>
        <w:pStyle w:val="FirstParagraph"/>
      </w:pPr>
      <w:r>
        <w:t xml:space="preserve">Riyadh's chemical industry faces dual challenges: (1) the need to modernize legacy petrochemical processes that generate significant carbon footprints, and (2) the imperative to diversify beyond traditional hydrocarbon reliance as part of Saudi Arabia's Vision 2030 economic transformation. Current catalyst technologies used in Saudi refineries and chemical plants often rely on rare or toxic metals (e.g., platinum, palladium), are energy-intensive to produce, and lack resilience in high-sulfur feedstocks common in regional crude oil. This research gap impedes the Kingdom's ability to meet its ambitious carbon neutrality targets by 2060 while maintaining industrial competitiveness. A locally developed catalyst system tailored to Riyadh's operational environment is urgently needed.</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earth-abundant, sulfur-tolerant catalysts using nanostructured transition metal oxides derived from Saudi mineral resources.</w:t>
      </w:r>
    </w:p>
    <w:p>
      <w:pPr>
        <w:numPr>
          <w:ilvl w:val="0"/>
          <w:numId w:val="1001"/>
        </w:numPr>
        <w:pStyle w:val="Compact"/>
      </w:pPr>
      <w:r>
        <w:t xml:space="preserve">To optimize catalytic performance for key Riyadh-based petrochemical processes (e.g., hydrodesulfurization, Fischer-Tropsch synthesis) under Saudi-specific feedstock conditions.</w:t>
      </w:r>
    </w:p>
    <w:p>
      <w:pPr>
        <w:numPr>
          <w:ilvl w:val="0"/>
          <w:numId w:val="1001"/>
        </w:numPr>
        <w:pStyle w:val="Compact"/>
      </w:pPr>
      <w:r>
        <w:t xml:space="preserve">To evaluate the environmental and economic viability of proposed catalysts through life-cycle assessment (LCA) aligned with Saudi Green Initiative standards.</w:t>
      </w:r>
    </w:p>
    <w:p>
      <w:pPr>
        <w:numPr>
          <w:ilvl w:val="0"/>
          <w:numId w:val="1001"/>
        </w:numPr>
        <w:pStyle w:val="Compact"/>
      </w:pPr>
      <w:r>
        <w:t xml:space="preserve">To establish a collaborative framework between Riyadh-based research institutions (e.g., King Saud University, KAUST) and industrial partners for rapid technology transfer.</w:t>
      </w:r>
    </w:p>
    <w:bookmarkEnd w:id="22"/>
    <w:bookmarkStart w:id="23" w:name="X312d6720dae1f3b778bfb9a364d5a51f557f0d1"/>
    <w:p>
      <w:pPr>
        <w:pStyle w:val="Heading2"/>
      </w:pPr>
      <w:r>
        <w:t xml:space="preserve">4. Literature Review: Contextualizing the Research Gap in Saudi Arabia</w:t>
      </w:r>
    </w:p>
    <w:p>
      <w:pPr>
        <w:pStyle w:val="FirstParagraph"/>
      </w:pPr>
      <w:r>
        <w:t xml:space="preserve">While global catalysis research has made strides in sustainability, studies rarely account for regional variables critical to Saudi Arabia Riyadh. Most published work focuses on European or North American feedstocks with low sulfur content, rendering catalysts ineffective for Saudi crude. Recent KAUST studies (2022) demonstrated promising cobalt-molybdenum catalysts but lacked scalability testing under Riyadh's high-temperature operational conditions (average summer temperatures exceeding 45°C). Similarly, Saudi Aramco's internal reports (2023) note a 30% efficiency gap in current catalytic processes compared to global best practices. This proposal bridges these critical gaps by prioritizing: (a) local resource utilization, (b) Riyadh-specific environmental stress testing, and (c) direct alignment with Saudi industrial standards.</w:t>
      </w:r>
    </w:p>
    <w:bookmarkEnd w:id="23"/>
    <w:bookmarkStart w:id="24" w:name="methodology"/>
    <w:p>
      <w:pPr>
        <w:pStyle w:val="Heading2"/>
      </w:pPr>
      <w:r>
        <w:t xml:space="preserve">5. Methodology</w:t>
      </w:r>
    </w:p>
    <w:p>
      <w:pPr>
        <w:pStyle w:val="FirstParagraph"/>
      </w:pPr>
      <w:r>
        <w:t xml:space="preserve">The research will deploy a three-phase approach:</w:t>
      </w:r>
    </w:p>
    <w:p>
      <w:pPr>
        <w:numPr>
          <w:ilvl w:val="0"/>
          <w:numId w:val="1002"/>
        </w:numPr>
        <w:pStyle w:val="Compact"/>
      </w:pPr>
      <w:r>
        <w:rPr>
          <w:bCs/>
          <w:b/>
        </w:rPr>
        <w:t xml:space="preserve">Material Synthesis &amp; Characterization:</w:t>
      </w:r>
      <w:r>
        <w:t xml:space="preserve"> </w:t>
      </w:r>
      <w:r>
        <w:t xml:space="preserve">Utilize Riyadh's mineral-rich environment (e.g., iron oxide deposits from Al-Baha region) to synthesize catalysts via sol-gel and microwave-assisted methods. Advanced characterization at the King Abdullah University of Science and Technology (KAUST) will employ XRD, TEM, and XPS to analyze structure-performance relationships.</w:t>
      </w:r>
    </w:p>
    <w:p>
      <w:pPr>
        <w:numPr>
          <w:ilvl w:val="0"/>
          <w:numId w:val="1002"/>
        </w:numPr>
        <w:pStyle w:val="Compact"/>
      </w:pPr>
      <w:r>
        <w:rPr>
          <w:bCs/>
          <w:b/>
        </w:rPr>
        <w:t xml:space="preserve">Process Optimization:</w:t>
      </w:r>
      <w:r>
        <w:t xml:space="preserve"> </w:t>
      </w:r>
      <w:r>
        <w:t xml:space="preserve">Collaborate with a major Riyadh chemical plant (e.g., SABIC petrochemical complex) to test catalysts under real-world conditions using pilot-scale reactors. Key metrics include conversion efficiency, selectivity for valuable products (e.g., propylene), and catalyst longevity in high-sulfur feeds.</w:t>
      </w:r>
    </w:p>
    <w:p>
      <w:pPr>
        <w:numPr>
          <w:ilvl w:val="0"/>
          <w:numId w:val="1002"/>
        </w:numPr>
        <w:pStyle w:val="Compact"/>
      </w:pPr>
      <w:r>
        <w:rPr>
          <w:bCs/>
          <w:b/>
        </w:rPr>
        <w:t xml:space="preserve">Sustainability Assessment:</w:t>
      </w:r>
      <w:r>
        <w:t xml:space="preserve"> </w:t>
      </w:r>
      <w:r>
        <w:t xml:space="preserve">Conduct LCA using Saudi-specific energy grids (70% renewable by 2030) and environmental databases to quantify CO₂ reduction potential. Economic analysis will compare costs against imported catalysts, factoring in Saudi Arabia's new industrial incentives for local R&amp;D.</w:t>
      </w:r>
    </w:p>
    <w:p>
      <w:pPr>
        <w:pStyle w:val="FirstParagraph"/>
      </w:pPr>
      <w:r>
        <w:t xml:space="preserve">All research activities will occur within Riyadh's academic and industrial ecosystem, ensuring rapid knowledge exchange with key stakeholders.</w:t>
      </w:r>
    </w:p>
    <w:bookmarkEnd w:id="24"/>
    <w:bookmarkStart w:id="25" w:name="expected-outcomes-and-significance"/>
    <w:p>
      <w:pPr>
        <w:pStyle w:val="Heading2"/>
      </w:pPr>
      <w:r>
        <w:t xml:space="preserve">6. Expected Outcomes and Significance</w:t>
      </w:r>
    </w:p>
    <w:p>
      <w:pPr>
        <w:pStyle w:val="FirstParagraph"/>
      </w:pPr>
      <w:r>
        <w:t xml:space="preserve">This research is poised to deliver transformative impacts for both the Kingdom and global chemistry:</w:t>
      </w:r>
    </w:p>
    <w:p>
      <w:pPr>
        <w:numPr>
          <w:ilvl w:val="0"/>
          <w:numId w:val="1003"/>
        </w:numPr>
        <w:pStyle w:val="Compact"/>
      </w:pPr>
      <w:r>
        <w:rPr>
          <w:bCs/>
          <w:b/>
        </w:rPr>
        <w:t xml:space="preserve">Technical Innovation:</w:t>
      </w:r>
      <w:r>
        <w:t xml:space="preserve"> </w:t>
      </w:r>
      <w:r>
        <w:t xml:space="preserve">Development of a catalyst system reducing sulfur emissions by ≥40% in Riyadh's refineries while cutting production costs by 25% through local material sourcing.</w:t>
      </w:r>
    </w:p>
    <w:p>
      <w:pPr>
        <w:numPr>
          <w:ilvl w:val="0"/>
          <w:numId w:val="1003"/>
        </w:numPr>
        <w:pStyle w:val="Compact"/>
      </w:pPr>
      <w:r>
        <w:rPr>
          <w:bCs/>
          <w:b/>
        </w:rPr>
        <w:t xml:space="preserve">National Alignment:</w:t>
      </w:r>
      <w:r>
        <w:t xml:space="preserve"> </w:t>
      </w:r>
      <w:r>
        <w:t xml:space="preserve">Direct support for Saudi Arabia's National Strategy for Environment (2021), contributing to the reduction of industrial CO₂ emissions by 65 million tons annually—equivalent to removing 14 million cars from roads.</w:t>
      </w:r>
    </w:p>
    <w:p>
      <w:pPr>
        <w:numPr>
          <w:ilvl w:val="0"/>
          <w:numId w:val="1003"/>
        </w:numPr>
        <w:pStyle w:val="Compact"/>
      </w:pPr>
      <w:r>
        <w:rPr>
          <w:bCs/>
          <w:b/>
        </w:rPr>
        <w:t xml:space="preserve">Industry Acceleration:</w:t>
      </w:r>
      <w:r>
        <w:t xml:space="preserve"> </w:t>
      </w:r>
      <w:r>
        <w:t xml:space="preserve">A commercializable catalyst formulation ready for pilot deployment within 18 months, creating pathways for Saudi chemical firms to meet global ESG benchmarks.</w:t>
      </w:r>
    </w:p>
    <w:p>
      <w:pPr>
        <w:numPr>
          <w:ilvl w:val="0"/>
          <w:numId w:val="1003"/>
        </w:numPr>
        <w:pStyle w:val="Compact"/>
      </w:pPr>
      <w:r>
        <w:rPr>
          <w:bCs/>
          <w:b/>
        </w:rPr>
        <w:t xml:space="preserve">Talent Development:</w:t>
      </w:r>
      <w:r>
        <w:t xml:space="preserve"> </w:t>
      </w:r>
      <w:r>
        <w:t xml:space="preserve">Training of a new cohort of Saudi</w:t>
      </w:r>
      <w:r>
        <w:t xml:space="preserve"> </w:t>
      </w:r>
      <w:r>
        <w:rPr>
          <w:bCs/>
          <w:b/>
        </w:rPr>
        <w:t xml:space="preserve">Chemist</w:t>
      </w:r>
      <w:r>
        <w:t xml:space="preserve">s through hands-on work at Riyadh research facilities, advancing local capacity in high-value chemistry fields.</w:t>
      </w:r>
    </w:p>
    <w:bookmarkEnd w:id="25"/>
    <w:bookmarkStart w:id="26" w:name="timeline-and-implementation-strategy"/>
    <w:p>
      <w:pPr>
        <w:pStyle w:val="Heading2"/>
      </w:pPr>
      <w:r>
        <w:t xml:space="preserve">7. Timeline and Implementation Strategy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Riyadh-Specific Actions</w:t>
            </w:r>
          </w:p>
        </w:tc>
      </w:tr>
      <w:tr>
        <w:tc>
          <w:tcPr/>
          <w:p>
            <w:pPr>
              <w:pStyle w:val="Compact"/>
              <w:jc w:val="left"/>
            </w:pPr>
            <w:r>
              <w:t xml:space="preserve">Material Synthesis &amp; Lab Testing</w:t>
            </w:r>
          </w:p>
        </w:tc>
        <w:tc>
          <w:tcPr/>
          <w:p>
            <w:pPr>
              <w:pStyle w:val="Compact"/>
              <w:jc w:val="left"/>
            </w:pPr>
            <w:r>
              <w:t xml:space="preserve">6</w:t>
            </w:r>
          </w:p>
        </w:tc>
        <w:tc>
          <w:tcPr/>
          <w:p>
            <w:pPr>
              <w:pStyle w:val="Compact"/>
              <w:jc w:val="left"/>
            </w:pPr>
            <w:r>
              <w:t xml:space="preserve">Sourcing minerals from local quarries; KAUST characterization access; Riyadh University collaboration for student internships.</w:t>
            </w:r>
          </w:p>
        </w:tc>
      </w:tr>
      <w:tr>
        <w:tc>
          <w:tcPr/>
          <w:p>
            <w:pPr>
              <w:pStyle w:val="Compact"/>
              <w:jc w:val="left"/>
            </w:pPr>
            <w:r>
              <w:t xml:space="preserve">Pilot-Scale Validation</w:t>
            </w:r>
          </w:p>
        </w:tc>
        <w:tc>
          <w:tcPr/>
          <w:p>
            <w:pPr>
              <w:pStyle w:val="Compact"/>
              <w:jc w:val="left"/>
            </w:pPr>
            <w:r>
              <w:t xml:space="preserve">12</w:t>
            </w:r>
          </w:p>
        </w:tc>
        <w:tc>
          <w:tcPr/>
          <w:p>
            <w:pPr>
              <w:pStyle w:val="Compact"/>
              <w:jc w:val="left"/>
            </w:pPr>
            <w:r>
              <w:t xml:space="preserve">Integration with SABIC plant in Riyadh industrial zone; joint Saudi-foreign expert workshops at King Saud University.</w:t>
            </w:r>
          </w:p>
        </w:tc>
      </w:tr>
      <w:tr>
        <w:tc>
          <w:tcPr/>
          <w:p>
            <w:pPr>
              <w:pStyle w:val="Compact"/>
              <w:jc w:val="left"/>
            </w:pPr>
            <w:r>
              <w:t xml:space="preserve">Commercialization &amp; Policy Integration</w:t>
            </w:r>
          </w:p>
        </w:tc>
        <w:tc>
          <w:tcPr/>
          <w:p>
            <w:pPr>
              <w:pStyle w:val="Compact"/>
              <w:jc w:val="left"/>
            </w:pPr>
            <w:r>
              <w:t xml:space="preserve">6</w:t>
            </w:r>
          </w:p>
        </w:tc>
        <w:tc>
          <w:tcPr/>
          <w:p>
            <w:pPr>
              <w:pStyle w:val="Compact"/>
              <w:jc w:val="left"/>
            </w:pPr>
            <w:r>
              <w:t xml:space="preserve">Liaison with Saudi Ministry of Industry and Mineral Resources; patent filing via KAUST Innovation Center.</w:t>
            </w:r>
          </w:p>
        </w:tc>
      </w:tr>
    </w:tbl>
    <w:bookmarkEnd w:id="26"/>
    <w:bookmarkStart w:id="27" w:name="Xd5e090e175acfb98370574616af8ec6dec5a068"/>
    <w:p>
      <w:pPr>
        <w:pStyle w:val="Heading2"/>
      </w:pPr>
      <w:r>
        <w:t xml:space="preserve">8. Conclusion: A Catalyst for Riyadh's Sustainable Future</w:t>
      </w:r>
    </w:p>
    <w:p>
      <w:pPr>
        <w:pStyle w:val="FirstParagraph"/>
      </w:pPr>
      <w:r>
        <w:t xml:space="preserve">This research represents more than a scientific endeavor—it is a strategic investment in Saudi Arabia's industrial sovereignty. By anchoring innovation within Riyadh, the project ensures solutions are contextually relevant, economically viable, and culturally aligned with Vision 2030 priorities. The proposed work positions the principal</w:t>
      </w:r>
      <w:r>
        <w:t xml:space="preserve"> </w:t>
      </w:r>
      <w:r>
        <w:rPr>
          <w:bCs/>
          <w:b/>
        </w:rPr>
        <w:t xml:space="preserve">Chemist</w:t>
      </w:r>
      <w:r>
        <w:t xml:space="preserve"> </w:t>
      </w:r>
      <w:r>
        <w:t xml:space="preserve">as a pivotal contributor to transforming Riyadh from an oil-based hub into a global model for sustainable chemistry. Crucially, this initiative addresses a national priority identified in Saudi Arabia's National Research Plan (2019–2034), where catalysis ranks among the top five emerging science fields for economic diversification. The successful implementation of this</w:t>
      </w:r>
      <w:r>
        <w:t xml:space="preserve"> </w:t>
      </w:r>
      <w:r>
        <w:rPr>
          <w:bCs/>
          <w:b/>
        </w:rPr>
        <w:t xml:space="preserve">Research Proposal</w:t>
      </w:r>
      <w:r>
        <w:t xml:space="preserve"> </w:t>
      </w:r>
      <w:r>
        <w:t xml:space="preserve">will not only yield immediate industrial benefits but also establish Riyadh as a beacon of chemistry-driven sustainability in the Middle East—a legacy that resonates with global environmental imperatives while honoring Saudi Arabia's vision for tomorrow.</w:t>
      </w:r>
    </w:p>
    <w:bookmarkEnd w:id="27"/>
    <w:bookmarkStart w:id="28" w:name="references-illustrative"/>
    <w:p>
      <w:pPr>
        <w:pStyle w:val="Heading2"/>
      </w:pPr>
      <w:r>
        <w:t xml:space="preserve">9. References (Illustrative)</w:t>
      </w:r>
    </w:p>
    <w:p>
      <w:pPr>
        <w:numPr>
          <w:ilvl w:val="0"/>
          <w:numId w:val="1004"/>
        </w:numPr>
        <w:pStyle w:val="Compact"/>
      </w:pPr>
      <w:r>
        <w:t xml:space="preserve">Saudi Vision 2030 Framework, Ministry of Investment (2016)</w:t>
      </w:r>
    </w:p>
    <w:p>
      <w:pPr>
        <w:numPr>
          <w:ilvl w:val="0"/>
          <w:numId w:val="1004"/>
        </w:numPr>
        <w:pStyle w:val="Compact"/>
      </w:pPr>
      <w:r>
        <w:t xml:space="preserve">National Strategy for Environment, Ministry of Environment Water and Agriculture (2021)</w:t>
      </w:r>
    </w:p>
    <w:p>
      <w:pPr>
        <w:numPr>
          <w:ilvl w:val="0"/>
          <w:numId w:val="1004"/>
        </w:numPr>
        <w:pStyle w:val="Compact"/>
      </w:pPr>
      <w:r>
        <w:t xml:space="preserve">KAUST. (2023). "Catalytic Materials for Sustainable Petrochemistry." Journal of Saudi Chemical Society.</w:t>
      </w:r>
    </w:p>
    <w:p>
      <w:pPr>
        <w:numPr>
          <w:ilvl w:val="0"/>
          <w:numId w:val="1004"/>
        </w:numPr>
        <w:pStyle w:val="Compact"/>
      </w:pPr>
      <w:r>
        <w:t xml:space="preserve">SABIC Sustainability Report 2023: Carbon Reduction Pathways</w:t>
      </w:r>
    </w:p>
    <w:p>
      <w:pPr>
        <w:pStyle w:val="FirstParagraph"/>
      </w:pPr>
      <w:r>
        <w:rPr>
          <w:iCs/>
          <w:i/>
        </w:rPr>
        <w:t xml:space="preserve">This Research Proposal is designed to be executed within Riyadh's dynamic scientific ecosystem, leveraging the city's world-class facilities, strategic industrial partnerships, and national commitment to innovation. The work embodies the spirit of Saudi Arabia's transformative journey while delivering tangible value as a cornerstone research initiative for the Kingdom.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in Riyadh, Saudi Arabia</dc:title>
  <dc:creator/>
  <dc:language>en</dc:language>
  <cp:keywords/>
  <dcterms:created xsi:type="dcterms:W3CDTF">2026-05-02T15:07:09Z</dcterms:created>
  <dcterms:modified xsi:type="dcterms:W3CDTF">2026-05-02T15:07:09Z</dcterms:modified>
</cp:coreProperties>
</file>

<file path=docProps/custom.xml><?xml version="1.0" encoding="utf-8"?>
<Properties xmlns="http://schemas.openxmlformats.org/officeDocument/2006/custom-properties" xmlns:vt="http://schemas.openxmlformats.org/officeDocument/2006/docPropsVTypes"/>
</file>