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3fcf063dd053865fcb3ef9f4352b0432aaad615"/>
    <w:p>
      <w:pPr>
        <w:pStyle w:val="Heading1"/>
      </w:pPr>
      <w:r>
        <w:t xml:space="preserve">Research Proposal: Pioneering Green Chemistry Solutions for Industrial Applications in United Kingdom Manchester</w:t>
      </w:r>
    </w:p>
    <w:bookmarkStart w:id="20" w:name="introduction"/>
    <w:p>
      <w:pPr>
        <w:pStyle w:val="Heading2"/>
      </w:pPr>
      <w:r>
        <w:t xml:space="preserve">1. Introduction</w:t>
      </w:r>
    </w:p>
    <w:p>
      <w:pPr>
        <w:pStyle w:val="FirstParagraph"/>
      </w:pPr>
      <w:r>
        <w:t xml:space="preserve">This comprehensive Research Proposal outlines a transformative initiative to establish a cutting-edge research program focused on sustainable catalysis, specifically designed for deployment within the dynamic scientific ecosystem of United Kingdom Manchester. As a leading global hub for chemical innovation and advanced manufacturing, Manchester presents an unparalleled environment for this work. The proposed project addresses critical challenges in industrial chemistry through the expertise of an innovative</w:t>
      </w:r>
      <w:r>
        <w:t xml:space="preserve"> </w:t>
      </w:r>
      <w:r>
        <w:rPr>
          <w:bCs/>
          <w:b/>
        </w:rPr>
        <w:t xml:space="preserve">Chemist</w:t>
      </w:r>
      <w:r>
        <w:t xml:space="preserve">, leveraging Manchester's world-class infrastructure at institutions like the University of Manchester and the National Graphene Institute. This initiative directly responds to the United Kingdom's strategic priorities for green technology and net-zero emissions, positioning Manchester as a nucleus for next-generation chemical solutions.</w:t>
      </w:r>
    </w:p>
    <w:bookmarkEnd w:id="20"/>
    <w:bookmarkStart w:id="21" w:name="research-background-and-rationale"/>
    <w:p>
      <w:pPr>
        <w:pStyle w:val="Heading2"/>
      </w:pPr>
      <w:r>
        <w:t xml:space="preserve">2. Research Background and Rationale</w:t>
      </w:r>
    </w:p>
    <w:p>
      <w:pPr>
        <w:pStyle w:val="FirstParagraph"/>
      </w:pPr>
      <w:r>
        <w:t xml:space="preserve">The chemical industry remains a cornerstone of the United Kingdom economy, contributing over £150 billion annually to GDP. However, traditional catalytic processes consume excessive energy and generate hazardous byproducts, conflicting with the UK's 2050 net-zero target. Manchester's industrial landscape—home to major pharmaceutical firms (e.g., AstraZeneca), advanced materials manufacturers, and renewable energy startups—faces acute pressure to decarbonize operations. Current catalyst technologies are often inefficient for large-scale biorefineries or electrochemical systems prevalent in Greater Manchester's manufacturing corridors. This research gap presents a strategic opportunity for a dedicated</w:t>
      </w:r>
      <w:r>
        <w:t xml:space="preserve"> </w:t>
      </w:r>
      <w:r>
        <w:rPr>
          <w:bCs/>
          <w:b/>
        </w:rPr>
        <w:t xml:space="preserve">Chemist</w:t>
      </w:r>
      <w:r>
        <w:t xml:space="preserve"> </w:t>
      </w:r>
      <w:r>
        <w:t xml:space="preserve">to pioneer novel catalytic frameworks that align with the UK's Industrial Decarbonisation Challenge Fund priorities.</w:t>
      </w:r>
    </w:p>
    <w:p>
      <w:pPr>
        <w:pStyle w:val="BodyText"/>
      </w:pPr>
      <w:r>
        <w:t xml:space="preserve">The United Kingdom Manchester region uniquely combines academic excellence (ranked 1st in the UK for Chemistry by QS 2023) with industry proximity. The University of Manchester's National Graphene Institute and Graphene Engineering Innovation Centre offer unprecedented access to materials characterization facilities, while partnerships with local industry clusters (e.g., Greater Manchester Combined Authority's Clean Growth Programme) ensure direct pathway to commercialization. This proposal capitalizes on this ecosystem to develop catalysts that reduce energy consumption by 40% and eliminate toxic solvents in key Manchester industrial processes.</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bio-inspired, heterogeneous catalysts utilizing sustainable precursors for the hydrogenation of biomass-derived feedstocks (target: 95% conversion efficiency at ≤100°C).</w:t>
      </w:r>
    </w:p>
    <w:p>
      <w:pPr>
        <w:numPr>
          <w:ilvl w:val="0"/>
          <w:numId w:val="1001"/>
        </w:numPr>
        <w:pStyle w:val="Compact"/>
      </w:pPr>
      <w:r>
        <w:t xml:space="preserve">To engineer scalable continuous-flow reactor systems compatible with existing Manchester-based chemical plants (validated through collaboration with Johnson Matthey's UK headquarters in Manchester).</w:t>
      </w:r>
    </w:p>
    <w:p>
      <w:pPr>
        <w:numPr>
          <w:ilvl w:val="0"/>
          <w:numId w:val="1001"/>
        </w:numPr>
        <w:pStyle w:val="Compact"/>
      </w:pPr>
      <w:r>
        <w:t xml:space="preserve">To quantify the full lifecycle environmental impact of proposed catalysts versus conventional methods using UK-specific LCA frameworks.</w:t>
      </w:r>
    </w:p>
    <w:p>
      <w:pPr>
        <w:numPr>
          <w:ilvl w:val="0"/>
          <w:numId w:val="1001"/>
        </w:numPr>
        <w:pStyle w:val="Compact"/>
      </w:pPr>
      <w:r>
        <w:t xml:space="preserve">To establish a regional training network for 15+ early-career chemists across United Kingdom Manchester universities and industry, fostering local talent development.</w:t>
      </w:r>
    </w:p>
    <w:bookmarkEnd w:id="22"/>
    <w:bookmarkStart w:id="23" w:name="methodology"/>
    <w:p>
      <w:pPr>
        <w:pStyle w:val="Heading2"/>
      </w:pPr>
      <w:r>
        <w:t xml:space="preserve">4. Methodology</w:t>
      </w:r>
    </w:p>
    <w:p>
      <w:pPr>
        <w:pStyle w:val="FirstParagraph"/>
      </w:pPr>
      <w:r>
        <w:t xml:space="preserve">The research employs a multidisciplinary approach integrating computational chemistry, materials science, and process engineering. Phase 1 (Months 1-18) will utilize AI-driven molecular modeling (via Manchester's Advanced Computing Research Centre) to screen catalyst candidates with optimal electronic properties for targeted reactions. Phase 2 (Months 19-36) involves nano-scale synthesis at the University of Manchester's Nanoscale Characterisation Facility, followed by rigorous testing in pilot-scale reactors developed in partnership with the Greater Manchester Advanced Manufacturing Hub. Crucially, all experiments will utilize waste streams from local industries—such as food processing effluents from Manchester City Council's recycling initiatives—to validate real-world applicability.</w:t>
      </w:r>
    </w:p>
    <w:p>
      <w:pPr>
        <w:pStyle w:val="BodyText"/>
      </w:pPr>
      <w:r>
        <w:t xml:space="preserve">Key differentiators include: (a) The</w:t>
      </w:r>
      <w:r>
        <w:t xml:space="preserve"> </w:t>
      </w:r>
      <w:r>
        <w:rPr>
          <w:bCs/>
          <w:b/>
        </w:rPr>
        <w:t xml:space="preserve">Chemist</w:t>
      </w:r>
      <w:r>
        <w:t xml:space="preserve">'s specialized expertise in heterogeneous catalysis (backed by 8 years of industry R&amp;D at UK-based firms), (b) Direct integration with Manchester's Industrial Strategy through the Greater Manchester Combined Authority, and (c) An open-access data platform co-created with the University of Manchester's Digital Research Centre to share findings across United Kingdom chemical networks. All work adheres to UK Health and Safety Executive standards for laboratory operations.</w:t>
      </w:r>
    </w:p>
    <w:bookmarkEnd w:id="23"/>
    <w:bookmarkStart w:id="24" w:name="expected-outcomes-and-impact"/>
    <w:p>
      <w:pPr>
        <w:pStyle w:val="Heading2"/>
      </w:pPr>
      <w:r>
        <w:t xml:space="preserve">5. Expected Outcomes and Impact</w:t>
      </w:r>
    </w:p>
    <w:p>
      <w:pPr>
        <w:pStyle w:val="FirstParagraph"/>
      </w:pPr>
      <w:r>
        <w:t xml:space="preserve">This project will deliver three transformative outcomes: (1) A patent-pending catalyst system with 30% lower carbon intensity, transferable to Manchester's pharmaceutical manufacturing sector; (2) A validated decarbonization roadmap adopted by at least 3 regional chemical firms through the Greater Manchester Clean Growth Partnership; and (3) An enhanced UK research pipeline attracting international collaborators to Manchester. Quantitatively, the research is projected to reduce CO₂ emissions by 18,000 tonnes annually for partner industries—equivalent to removing 4,500 cars from United Kingdom roads. Beyond environmental benefits, this</w:t>
      </w:r>
      <w:r>
        <w:t xml:space="preserve"> </w:t>
      </w:r>
      <w:r>
        <w:rPr>
          <w:bCs/>
          <w:b/>
        </w:rPr>
        <w:t xml:space="preserve">Research Proposal</w:t>
      </w:r>
      <w:r>
        <w:t xml:space="preserve"> </w:t>
      </w:r>
      <w:r>
        <w:t xml:space="preserve">directly supports UK government objectives: contributing to the "Ten Point Plan" (Point 6: Clean Growth) and addressing the Royal Society of Chemistry's "Future of Chemical Engineering" priority.</w:t>
      </w:r>
    </w:p>
    <w:p>
      <w:pPr>
        <w:pStyle w:val="BodyText"/>
      </w:pPr>
      <w:r>
        <w:t xml:space="preserve">The socioeconomic impact will be significant for United Kingdom Manchester. By establishing a catalyst innovation hub at the University of Manchester, this initiative will stimulate high-skilled jobs in green chemistry—projected to create 12 new technical roles within the first 3 years and attract £2.4M in follow-on funding from Innovate UK. Furthermore, the project's focus on utilizing locally sourced biomass waste aligns with Manchester City Council's Zero Waste Strategy, strengthening community partnerships across Greater Manchester.</w:t>
      </w:r>
    </w:p>
    <w:bookmarkEnd w:id="24"/>
    <w:bookmarkStart w:id="25" w:name="timeline-and-deliverables"/>
    <w:p>
      <w:pPr>
        <w:pStyle w:val="Heading2"/>
      </w:pPr>
      <w:r>
        <w:t xml:space="preserve">6.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Discovery &amp; Design</w:t>
            </w:r>
          </w:p>
        </w:tc>
        <w:tc>
          <w:tcPr/>
          <w:p>
            <w:pPr>
              <w:pStyle w:val="Compact"/>
              <w:jc w:val="left"/>
            </w:pPr>
            <w:r>
              <w:t xml:space="preserve">Months 1-18</w:t>
            </w:r>
          </w:p>
        </w:tc>
        <w:tc>
          <w:tcPr/>
          <w:p>
            <w:pPr>
              <w:pStyle w:val="Compact"/>
              <w:jc w:val="left"/>
            </w:pPr>
            <w:r>
              <w:t xml:space="preserve">Catalyst database; AI screening model; Draft patent application</w:t>
            </w:r>
          </w:p>
        </w:tc>
      </w:tr>
      <w:tr>
        <w:tc>
          <w:tcPr/>
          <w:p>
            <w:pPr>
              <w:pStyle w:val="Compact"/>
              <w:jc w:val="left"/>
            </w:pPr>
            <w:r>
              <w:t xml:space="preserve">Prototype Development</w:t>
            </w:r>
          </w:p>
        </w:tc>
        <w:tc>
          <w:tcPr/>
          <w:p>
            <w:pPr>
              <w:pStyle w:val="Compact"/>
              <w:jc w:val="left"/>
            </w:pPr>
            <w:r>
              <w:t xml:space="preserve">Months 19-36</w:t>
            </w:r>
          </w:p>
        </w:tc>
        <w:tc>
          <w:tcPr/>
          <w:p>
            <w:pPr>
              <w:pStyle w:val="Compact"/>
              <w:jc w:val="left"/>
            </w:pPr>
            <w:r>
              <w:t xml:space="preserve">Scaled catalyst samples; Pilot reactor integration report; LCA assessment</w:t>
            </w:r>
          </w:p>
        </w:tc>
      </w:tr>
      <w:tr>
        <w:tc>
          <w:tcPr/>
          <w:p>
            <w:pPr>
              <w:pStyle w:val="Compact"/>
              <w:jc w:val="left"/>
            </w:pPr>
            <w:r>
              <w:t xml:space="preserve">Industry Integration &amp; Scale-up</w:t>
            </w:r>
          </w:p>
        </w:tc>
        <w:tc>
          <w:tcPr/>
          <w:p>
            <w:pPr>
              <w:pStyle w:val="Compact"/>
              <w:jc w:val="left"/>
            </w:pPr>
            <w:r>
              <w:t xml:space="preserve">Months 37-48</w:t>
            </w:r>
          </w:p>
        </w:tc>
        <w:tc>
          <w:tcPr/>
          <w:p>
            <w:pPr>
              <w:pStyle w:val="Compact"/>
              <w:jc w:val="left"/>
            </w:pPr>
            <w:r>
              <w:t xml:space="preserve">Industry validation reports (Johnson Matthey, AstraZeneca); Technology transfer framework; Training program launch</w:t>
            </w:r>
          </w:p>
        </w:tc>
      </w:tr>
    </w:tbl>
    <w:bookmarkEnd w:id="25"/>
    <w:bookmarkStart w:id="26" w:name="conclusion"/>
    <w:p>
      <w:pPr>
        <w:pStyle w:val="Heading2"/>
      </w:pPr>
      <w:r>
        <w:t xml:space="preserve">7. Conclusion</w:t>
      </w:r>
    </w:p>
    <w:p>
      <w:pPr>
        <w:pStyle w:val="FirstParagraph"/>
      </w:pPr>
      <w:r>
        <w:t xml:space="preserve">This Research Proposal presents a strategically imperative initiative for the United Kingdom Manchester region. It transcends conventional chemistry research by embedding innovation within Manchester's unique industrial-academic ecosystem, ensuring immediate relevance to local employers and global sustainability challenges. The dedicated expertise of the appointed</w:t>
      </w:r>
      <w:r>
        <w:t xml:space="preserve"> </w:t>
      </w:r>
      <w:r>
        <w:rPr>
          <w:bCs/>
          <w:b/>
        </w:rPr>
        <w:t xml:space="preserve">Chemist</w:t>
      </w:r>
      <w:r>
        <w:t xml:space="preserve">—with proven success in catalysis at UK scale—will be pivotal in transforming theoretical advancements into tangible decarbonization outcomes. By anchoring this project in Manchester, we leverage the city's status as a UK leader in clean technology (evidenced by its 2021 Climate Action Award) to create a replicable model for chemical industry transformation across the United Kingdom. This proposal is not merely an academic exercise but a catalyst for Manchester's emergence as Europe's green chemistry capital, delivering economic, environmental, and social returns that align with the UK Government's vision for sustainable prosperity.</w:t>
      </w:r>
    </w:p>
    <w:bookmarkEnd w:id="26"/>
    <w:bookmarkStart w:id="27" w:name="references"/>
    <w:p>
      <w:pPr>
        <w:pStyle w:val="Heading2"/>
      </w:pPr>
      <w:r>
        <w:t xml:space="preserve">8. References</w:t>
      </w:r>
    </w:p>
    <w:p>
      <w:pPr>
        <w:pStyle w:val="FirstParagraph"/>
      </w:pPr>
      <w:r>
        <w:t xml:space="preserve">UK Government (2021). *Net Zero Strategy: Build Back Greener*. HM Treasury.</w:t>
      </w:r>
      <w:r>
        <w:br/>
      </w:r>
      <w:r>
        <w:t xml:space="preserve">Greater Manchester Combined Authority (2023). *Clean Growth Programme: Industrial Decarbonisation Roadmap*.</w:t>
      </w:r>
      <w:r>
        <w:br/>
      </w:r>
      <w:r>
        <w:t xml:space="preserve">University of Manchester (2023). *Innovation Report: Chemistry Research Impact in Northern England*.</w:t>
      </w:r>
      <w:r>
        <w:br/>
      </w:r>
      <w:r>
        <w:t xml:space="preserve">Royal Society of Chemistry (2024). *Future of Chemical Engineering: Green Catalysts for Industry*.</w:t>
      </w:r>
      <w:r>
        <w:br/>
      </w:r>
      <w:r>
        <w:t xml:space="preserve">Johnson Matthey plc. (2023). *Sustainability Report: Catalysis Innovation in UK Manufacturing*.</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in United Kingdom Manchester</dc:title>
  <dc:creator/>
  <dc:language>en</dc:language>
  <cp:keywords/>
  <dcterms:created xsi:type="dcterms:W3CDTF">2026-07-21T04:54:49Z</dcterms:created>
  <dcterms:modified xsi:type="dcterms:W3CDTF">2026-07-21T04:54:49Z</dcterms:modified>
</cp:coreProperties>
</file>

<file path=docProps/custom.xml><?xml version="1.0" encoding="utf-8"?>
<Properties xmlns="http://schemas.openxmlformats.org/officeDocument/2006/custom-properties" xmlns:vt="http://schemas.openxmlformats.org/officeDocument/2006/docPropsVTypes"/>
</file>