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AI</w:t>
      </w:r>
      <w:r>
        <w:t xml:space="preserve"> </w:t>
      </w:r>
      <w:r>
        <w:t xml:space="preserve">Infrastructure</w:t>
      </w:r>
      <w:r>
        <w:t xml:space="preserve"> </w:t>
      </w:r>
      <w:r>
        <w:t xml:space="preserve">in</w:t>
      </w:r>
      <w:r>
        <w:t xml:space="preserve"> </w:t>
      </w:r>
      <w:r>
        <w:t xml:space="preserve">Canada</w:t>
      </w:r>
      <w:r>
        <w:t xml:space="preserve"> </w:t>
      </w:r>
      <w:r>
        <w:t xml:space="preserve">Vancouver</w:t>
      </w:r>
    </w:p>
    <w:bookmarkStart w:id="32" w:name="X8da325f2533cf473050e8fd5aadf43b4e6f8c0a"/>
    <w:p>
      <w:pPr>
        <w:pStyle w:val="Heading1"/>
      </w:pPr>
      <w:r>
        <w:t xml:space="preserve">Research Proposal: Advancing Sustainable AI Infrastructure for Urban Computing in Canada Vancouver</w:t>
      </w:r>
    </w:p>
    <w:bookmarkStart w:id="20" w:name="introduction-and-context"/>
    <w:p>
      <w:pPr>
        <w:pStyle w:val="Heading2"/>
      </w:pPr>
      <w:r>
        <w:t xml:space="preserve">1. Introduction and Context</w:t>
      </w:r>
    </w:p>
    <w:p>
      <w:pPr>
        <w:pStyle w:val="FirstParagraph"/>
      </w:pPr>
      <w:r>
        <w:t xml:space="preserve">The rapid evolution of artificial intelligence (AI) and computational infrastructure presents both unprecedented opportunities and critical challenges for urban centers globally. In Canada Vancouver—a hub for technological innovation, home to major tech companies like Hootsuite, Slack, and numerous AI startups—the demand for energy-efficient computing solutions has reached a pivotal moment. As a prospective</w:t>
      </w:r>
      <w:r>
        <w:t xml:space="preserve"> </w:t>
      </w:r>
      <w:r>
        <w:rPr>
          <w:iCs/>
          <w:i/>
        </w:rPr>
        <w:t xml:space="preserve">Computer Engineer</w:t>
      </w:r>
      <w:r>
        <w:t xml:space="preserve">, this</w:t>
      </w:r>
      <w:r>
        <w:t xml:space="preserve"> </w:t>
      </w:r>
      <w:r>
        <w:rPr>
          <w:bCs/>
          <w:b/>
        </w:rPr>
        <w:t xml:space="preserve">Research Proposal</w:t>
      </w:r>
      <w:r>
        <w:t xml:space="preserve"> </w:t>
      </w:r>
      <w:r>
        <w:t xml:space="preserve">addresses the urgent need to develop sustainable AI infrastructure that aligns with British Columbia's net-zero commitments and Vancouver's smart-city vision. With data centers consuming 1-2% of global electricity (IEA, 2023), our research directly tackles environmental sustainability while advancing computing capabilities in</w:t>
      </w:r>
      <w:r>
        <w:t xml:space="preserve"> </w:t>
      </w:r>
      <w:r>
        <w:rPr>
          <w:bCs/>
          <w:b/>
        </w:rPr>
        <w:t xml:space="preserve">Canada Vancouver</w:t>
      </w:r>
      <w:r>
        <w:t xml:space="preserve">.</w:t>
      </w:r>
    </w:p>
    <w:bookmarkEnd w:id="20"/>
    <w:bookmarkStart w:id="21" w:name="problem-statement"/>
    <w:p>
      <w:pPr>
        <w:pStyle w:val="Heading2"/>
      </w:pPr>
      <w:r>
        <w:t xml:space="preserve">2. Problem Statement</w:t>
      </w:r>
    </w:p>
    <w:p>
      <w:pPr>
        <w:pStyle w:val="FirstParagraph"/>
      </w:pPr>
      <w:r>
        <w:t xml:space="preserve">Vancouver's tech sector faces a paradox: exponential growth in AI workloads (projected 53% CAGR through 2030) clashes with provincial carbon targets (net-zero by 2050). Current data centers in</w:t>
      </w:r>
      <w:r>
        <w:t xml:space="preserve"> </w:t>
      </w:r>
      <w:r>
        <w:rPr>
          <w:bCs/>
          <w:b/>
        </w:rPr>
        <w:t xml:space="preserve">Canada Vancouver</w:t>
      </w:r>
      <w:r>
        <w:t xml:space="preserve"> </w:t>
      </w:r>
      <w:r>
        <w:t xml:space="preserve">rely heavily on hydroelectric power but still face cooling inefficiencies, leading to avoidable energy waste. A recent University of British Columbia study revealed local AI clusters consume 14% more energy per compute unit than global benchmarks due to suboptimal hardware-software integration. This gap represents both a climate risk and an opportunity for innovation—positioning the</w:t>
      </w:r>
      <w:r>
        <w:t xml:space="preserve"> </w:t>
      </w:r>
      <w:r>
        <w:rPr>
          <w:iCs/>
          <w:i/>
        </w:rPr>
        <w:t xml:space="preserve">Computer Engineer</w:t>
      </w:r>
      <w:r>
        <w:t xml:space="preserve"> </w:t>
      </w:r>
      <w:r>
        <w:t xml:space="preserve">as central to solving it.</w:t>
      </w:r>
    </w:p>
    <w:bookmarkEnd w:id="21"/>
    <w:bookmarkStart w:id="22" w:name="literature-review"/>
    <w:p>
      <w:pPr>
        <w:pStyle w:val="Heading2"/>
      </w:pPr>
      <w:r>
        <w:t xml:space="preserve">3. Literature Review</w:t>
      </w:r>
    </w:p>
    <w:p>
      <w:pPr>
        <w:pStyle w:val="FirstParagraph"/>
      </w:pPr>
      <w:r>
        <w:t xml:space="preserve">Existing research focuses on two disconnected fronts: (1) hardware-level energy optimization (e.g., NVIDIA's Grace CPUs) and (2) algorithmic efficiency (e.g., model pruning techniques). However, no study integrates these into a holistic urban computing framework for temperate-climate cities. Vancouver-specific studies like the 2023</w:t>
      </w:r>
      <w:r>
        <w:t xml:space="preserve"> </w:t>
      </w:r>
      <w:r>
        <w:rPr>
          <w:iCs/>
          <w:i/>
        </w:rPr>
        <w:t xml:space="preserve">BC Tech Sustainability Report</w:t>
      </w:r>
      <w:r>
        <w:t xml:space="preserve"> </w:t>
      </w:r>
      <w:r>
        <w:t xml:space="preserve">highlight unique challenges: high humidity affecting server cooling, seasonal energy demand spikes, and reliance on hydroelectric grids that face drought vulnerabilities. Crucially, no research has evaluated AI infrastructure in Canada's Pacific Northwest context—making this project globally pioneering.</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modular AI infrastructure framework optimized for Vancouver's microclimate, reducing energy consumption by 35% compared to current standards.</w:t>
      </w:r>
    </w:p>
    <w:p>
      <w:pPr>
        <w:numPr>
          <w:ilvl w:val="0"/>
          <w:numId w:val="1001"/>
        </w:numPr>
        <w:pStyle w:val="Compact"/>
      </w:pPr>
      <w:r>
        <w:rPr>
          <w:bCs/>
          <w:b/>
        </w:rPr>
        <w:t xml:space="preserve">Design</w:t>
      </w:r>
      <w:r>
        <w:t xml:space="preserve"> </w:t>
      </w:r>
      <w:r>
        <w:t xml:space="preserve">hardware-software co-designed cooling systems using phase-change materials (PCMs), validated through simulations and physical prototypes at the Vancouver Tech Hub.</w:t>
      </w:r>
    </w:p>
    <w:p>
      <w:pPr>
        <w:numPr>
          <w:ilvl w:val="0"/>
          <w:numId w:val="1001"/>
        </w:numPr>
        <w:pStyle w:val="Compact"/>
      </w:pPr>
      <w:r>
        <w:rPr>
          <w:bCs/>
          <w:b/>
        </w:rPr>
        <w:t xml:space="preserve">Quantify</w:t>
      </w:r>
      <w:r>
        <w:t xml:space="preserve"> </w:t>
      </w:r>
      <w:r>
        <w:t xml:space="preserve">carbon impact metrics for AI workloads, creating a publicly accessible tool for tech firms in</w:t>
      </w:r>
      <w:r>
        <w:t xml:space="preserve"> </w:t>
      </w:r>
      <w:r>
        <w:rPr>
          <w:bCs/>
          <w:b/>
        </w:rPr>
        <w:t xml:space="preserve">Canada Vancouver</w:t>
      </w:r>
      <w:r>
        <w:t xml:space="preserve">.</w:t>
      </w:r>
    </w:p>
    <w:p>
      <w:pPr>
        <w:numPr>
          <w:ilvl w:val="0"/>
          <w:numId w:val="1001"/>
        </w:numPr>
        <w:pStyle w:val="Compact"/>
      </w:pPr>
      <w:r>
        <w:rPr>
          <w:bCs/>
          <w:b/>
        </w:rPr>
        <w:t xml:space="preserve">Establish</w:t>
      </w:r>
      <w:r>
        <w:t xml:space="preserve"> </w:t>
      </w:r>
      <w:r>
        <w:t xml:space="preserve">industry-academia partnerships with key players (e.g., Microsoft Azure Vancouver, D-Wave Systems) to ensure real-world scalability.</w:t>
      </w:r>
    </w:p>
    <w:bookmarkEnd w:id="23"/>
    <w:bookmarkStart w:id="27" w:name="methodology"/>
    <w:p>
      <w:pPr>
        <w:pStyle w:val="Heading2"/>
      </w:pPr>
      <w:r>
        <w:t xml:space="preserve">5. Methodology</w:t>
      </w:r>
    </w:p>
    <w:p>
      <w:pPr>
        <w:pStyle w:val="FirstParagraph"/>
      </w:pPr>
      <w:r>
        <w:t xml:space="preserve">This project employs a three-phase interdisciplinary approach:</w:t>
      </w:r>
    </w:p>
    <w:bookmarkStart w:id="24" w:name="X9a3f27ea1b3784a5f075cc0d9f730f973ac7e0e"/>
    <w:p>
      <w:pPr>
        <w:pStyle w:val="Heading3"/>
      </w:pPr>
      <w:r>
        <w:t xml:space="preserve">Phase 1: Climate-Specific Benchmarking (Months 1-6)</w:t>
      </w:r>
    </w:p>
    <w:p>
      <w:pPr>
        <w:pStyle w:val="FirstParagraph"/>
      </w:pPr>
      <w:r>
        <w:t xml:space="preserve">Deploy sensor networks across Vancouver data centers to collect real-time humidity, temperature, and energy-use data. Using this dataset, we'll build predictive models of hardware performance under Pacific Northwest conditions—addressing a critical gap in current AI infrastructure research.</w:t>
      </w:r>
    </w:p>
    <w:bookmarkEnd w:id="24"/>
    <w:bookmarkStart w:id="25" w:name="phase-2-co-design-innovation-months-7-18"/>
    <w:p>
      <w:pPr>
        <w:pStyle w:val="Heading3"/>
      </w:pPr>
      <w:r>
        <w:t xml:space="preserve">Phase 2: Co-Design Innovation (Months 7-18)</w:t>
      </w:r>
    </w:p>
    <w:p>
      <w:pPr>
        <w:pStyle w:val="FirstParagraph"/>
      </w:pPr>
      <w:r>
        <w:t xml:space="preserve">A team of</w:t>
      </w:r>
      <w:r>
        <w:t xml:space="preserve"> </w:t>
      </w:r>
      <w:r>
        <w:rPr>
          <w:iCs/>
          <w:i/>
        </w:rPr>
        <w:t xml:space="preserve">Computer Engineers</w:t>
      </w:r>
      <w:r>
        <w:t xml:space="preserve"> </w:t>
      </w:r>
      <w:r>
        <w:t xml:space="preserve">will collaborate with materials scientists at UBC to prototype liquid-cooled server racks using locally sourced PCMs. This involves:</w:t>
      </w:r>
    </w:p>
    <w:p>
      <w:pPr>
        <w:numPr>
          <w:ilvl w:val="0"/>
          <w:numId w:val="1002"/>
        </w:numPr>
        <w:pStyle w:val="Compact"/>
      </w:pPr>
      <w:r>
        <w:t xml:space="preserve">Hardware modifications for passive cooling in humid environments</w:t>
      </w:r>
    </w:p>
    <w:p>
      <w:pPr>
        <w:numPr>
          <w:ilvl w:val="0"/>
          <w:numId w:val="1002"/>
        </w:numPr>
        <w:pStyle w:val="Compact"/>
      </w:pPr>
      <w:r>
        <w:t xml:space="preserve">Software stack adjustments for dynamic workload distribution based on real-time weather data</w:t>
      </w:r>
    </w:p>
    <w:p>
      <w:pPr>
        <w:numPr>
          <w:ilvl w:val="0"/>
          <w:numId w:val="1002"/>
        </w:numPr>
        <w:pStyle w:val="Compact"/>
      </w:pPr>
      <w:r>
        <w:t xml:space="preserve">Rigorous benchmarking against industry standards (e.g., SPECpower) using Vancouver-based datasets</w:t>
      </w:r>
    </w:p>
    <w:bookmarkEnd w:id="25"/>
    <w:bookmarkStart w:id="26" w:name="Xa529e039a5df09bc89d50a8859121d45c95c807"/>
    <w:p>
      <w:pPr>
        <w:pStyle w:val="Heading3"/>
      </w:pPr>
      <w:r>
        <w:t xml:space="preserve">Phase 3: Community Integration and Impact Assessment (Months 19-24)</w:t>
      </w:r>
    </w:p>
    <w:p>
      <w:pPr>
        <w:pStyle w:val="FirstParagraph"/>
      </w:pPr>
      <w:r>
        <w:t xml:space="preserve">Deploy pilot systems at partner sites in</w:t>
      </w:r>
      <w:r>
        <w:t xml:space="preserve"> </w:t>
      </w:r>
      <w:r>
        <w:rPr>
          <w:bCs/>
          <w:b/>
        </w:rPr>
        <w:t xml:space="preserve">Canada Vancouver</w:t>
      </w:r>
      <w:r>
        <w:t xml:space="preserve">. We'll measure reductions in PUE (Power Usage Effectiveness) and carbon emissions, while developing an open-source "Sustainable AI Toolkit" for local tech firms. Partnerships with the City of Vancouver's Greenest City Initiative will ensure alignment with municipal climate goals.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patent-pending cooling architecture specifically validated for temperate climates</w:t>
      </w:r>
    </w:p>
    <w:p>
      <w:pPr>
        <w:numPr>
          <w:ilvl w:val="0"/>
          <w:numId w:val="1003"/>
        </w:numPr>
        <w:pStyle w:val="Compact"/>
      </w:pPr>
      <w:r>
        <w:t xml:space="preserve">A benchmark dataset for AI infrastructure performance in Vancouver's unique environment (to be shared via BC Tech Alliance)</w:t>
      </w:r>
    </w:p>
    <w:p>
      <w:pPr>
        <w:numPr>
          <w:ilvl w:val="0"/>
          <w:numId w:val="1003"/>
        </w:numPr>
        <w:pStyle w:val="Compact"/>
      </w:pPr>
      <w:r>
        <w:t xml:space="preserve">Reduced operational costs for local tech firms through 30% lower energy bills</w:t>
      </w:r>
    </w:p>
    <w:p>
      <w:pPr>
        <w:numPr>
          <w:ilvl w:val="0"/>
          <w:numId w:val="1003"/>
        </w:numPr>
        <w:pStyle w:val="Compact"/>
      </w:pPr>
      <w:r>
        <w:t xml:space="preserve">Enhanced competitiveness of the Vancouver tech ecosystem as a sustainability leader</w:t>
      </w:r>
    </w:p>
    <w:p>
      <w:pPr>
        <w:pStyle w:val="FirstParagraph"/>
      </w:pPr>
      <w:r>
        <w:t xml:space="preserve">The significance extends beyond environmental impact: As Canada's second-largest tech hub (after Toronto), Vancouver must lead in sustainable innovation to attract global AI investment. This project positions local</w:t>
      </w:r>
      <w:r>
        <w:t xml:space="preserve"> </w:t>
      </w:r>
      <w:r>
        <w:rPr>
          <w:iCs/>
          <w:i/>
        </w:rPr>
        <w:t xml:space="preserve">Computer Engineers</w:t>
      </w:r>
      <w:r>
        <w:t xml:space="preserve"> </w:t>
      </w:r>
      <w:r>
        <w:t xml:space="preserve">at the forefront of a $200B global green tech market (McKinsey, 2024). By embedding climate resilience into computing infrastructure from inception, we create a replicable model for other cities in</w:t>
      </w:r>
      <w:r>
        <w:t xml:space="preserve"> </w:t>
      </w:r>
      <w:r>
        <w:rPr>
          <w:bCs/>
          <w:b/>
        </w:rPr>
        <w:t xml:space="preserve">Canada Vancouver</w:t>
      </w:r>
      <w:r>
        <w:t xml:space="preserve">'s network and beyond.</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I (Months 1-6)</w:t>
            </w:r>
          </w:p>
        </w:tc>
        <w:tc>
          <w:tcPr/>
          <w:p>
            <w:pPr>
              <w:pStyle w:val="Compact"/>
              <w:jc w:val="left"/>
            </w:pPr>
            <w:r>
              <w:t xml:space="preserve">Data collection, climate modeling</w:t>
            </w:r>
          </w:p>
        </w:tc>
        <w:tc>
          <w:tcPr/>
          <w:p>
            <w:pPr>
              <w:pStyle w:val="Compact"/>
              <w:jc w:val="left"/>
            </w:pPr>
            <w:r>
              <w:t xml:space="preserve">Sensor kits ($50k), UBC cloud resources ($20k)</w:t>
            </w:r>
          </w:p>
        </w:tc>
      </w:tr>
      <w:tr>
        <w:tc>
          <w:tcPr/>
          <w:p>
            <w:pPr>
              <w:pStyle w:val="Compact"/>
              <w:jc w:val="left"/>
            </w:pPr>
            <w:r>
              <w:t xml:space="preserve">II (Months 7-18)</w:t>
            </w:r>
          </w:p>
        </w:tc>
        <w:tc>
          <w:tcPr/>
          <w:p>
            <w:pPr>
              <w:pStyle w:val="Compact"/>
              <w:jc w:val="left"/>
            </w:pPr>
            <w:r>
              <w:t xml:space="preserve">Hardware prototyping, simulations</w:t>
            </w:r>
          </w:p>
        </w:tc>
        <w:tc>
          <w:tcPr/>
          <w:p>
            <w:pPr>
              <w:pStyle w:val="Compact"/>
              <w:jc w:val="left"/>
            </w:pPr>
            <w:r>
              <w:t xml:space="preserve">Labs access (Vancouver Tech Hub: $80k), PCM materials ($35k)</w:t>
            </w:r>
          </w:p>
        </w:tc>
      </w:tr>
      <w:tr>
        <w:tc>
          <w:tcPr/>
          <w:p>
            <w:pPr>
              <w:pStyle w:val="Compact"/>
              <w:jc w:val="left"/>
            </w:pPr>
            <w:r>
              <w:t xml:space="preserve">III (Months 19-24)</w:t>
            </w:r>
          </w:p>
        </w:tc>
        <w:tc>
          <w:tcPr/>
          <w:p>
            <w:pPr>
              <w:pStyle w:val="Compact"/>
              <w:jc w:val="left"/>
            </w:pPr>
            <w:r>
              <w:t xml:space="preserve">Pilot deployment, impact assessment</w:t>
            </w:r>
          </w:p>
        </w:tc>
        <w:tc>
          <w:tcPr/>
          <w:p>
            <w:pPr>
              <w:pStyle w:val="Compact"/>
              <w:jc w:val="left"/>
            </w:pPr>
            <w:r>
              <w:t xml:space="preserve">Industry partnership support, community workshops ($25k)</w:t>
            </w:r>
          </w:p>
        </w:tc>
      </w:tr>
    </w:tbl>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addresses a critical nexus: the role of the modern</w:t>
      </w:r>
      <w:r>
        <w:t xml:space="preserve"> </w:t>
      </w:r>
      <w:r>
        <w:rPr>
          <w:iCs/>
          <w:i/>
        </w:rPr>
        <w:t xml:space="preserve">Computer Engineer</w:t>
      </w:r>
      <w:r>
        <w:t xml:space="preserve"> </w:t>
      </w:r>
      <w:r>
        <w:t xml:space="preserve">in building climate-resilient digital infrastructure for cities like Vancouver, Canada. As urban AI adoption accelerates, our project moves beyond incremental efficiency gains to redefine how computing infrastructure interacts with its environment. By embedding sustainability into the hardware design process—rather than treating it as an add-on—we create a scalable blueprint for</w:t>
      </w:r>
      <w:r>
        <w:t xml:space="preserve"> </w:t>
      </w:r>
      <w:r>
        <w:rPr>
          <w:bCs/>
          <w:b/>
        </w:rPr>
        <w:t xml:space="preserve">Canada Vancouver</w:t>
      </w:r>
      <w:r>
        <w:t xml:space="preserve"> </w:t>
      </w:r>
      <w:r>
        <w:t xml:space="preserve">and other cities facing similar climate challenges. The success of this research will not only reduce carbon footprints but also strengthen Vancouver's position as Canada's leading sustainable tech hub, attracting talent, investment, and innovation to the region. For the</w:t>
      </w:r>
      <w:r>
        <w:t xml:space="preserve"> </w:t>
      </w:r>
      <w:r>
        <w:rPr>
          <w:iCs/>
          <w:i/>
        </w:rPr>
        <w:t xml:space="preserve">Computer Engineer</w:t>
      </w:r>
      <w:r>
        <w:t xml:space="preserve">, this represents an opportunity to drive meaningful change at the intersection of technology and environmental stewardship—a mission perfectly aligned with Vancouver's vision for a thriving digital future.</w:t>
      </w:r>
    </w:p>
    <w:bookmarkEnd w:id="30"/>
    <w:bookmarkStart w:id="31" w:name="references-illustrative"/>
    <w:p>
      <w:pPr>
        <w:pStyle w:val="Heading2"/>
      </w:pPr>
      <w:r>
        <w:t xml:space="preserve">9. References (Illustrative)</w:t>
      </w:r>
    </w:p>
    <w:p>
      <w:pPr>
        <w:pStyle w:val="FirstParagraph"/>
      </w:pPr>
      <w:r>
        <w:t xml:space="preserve">1. International Energy Agency (IEA). (2023).</w:t>
      </w:r>
      <w:r>
        <w:t xml:space="preserve"> </w:t>
      </w:r>
      <w:r>
        <w:rPr>
          <w:iCs/>
          <w:i/>
        </w:rPr>
        <w:t xml:space="preserve">Global Data Centre Energy Use</w:t>
      </w:r>
      <w:r>
        <w:t xml:space="preserve">. Paris: IEA.</w:t>
      </w:r>
      <w:r>
        <w:br/>
      </w:r>
      <w:r>
        <w:t xml:space="preserve">2. University of British Columbia. (2023). *BC Tech Sustainability Report*. Vancouver: UBC Press.</w:t>
      </w:r>
      <w:r>
        <w:br/>
      </w:r>
      <w:r>
        <w:t xml:space="preserve">3. McKinsey &amp; Company. (2024). *Green Tech Investment Trends in North America*. New York: McKinsey.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AI Infrastructure in Canada Vancouver</dc:title>
  <dc:creator/>
  <dc:language>en</dc:language>
  <cp:keywords/>
  <dcterms:created xsi:type="dcterms:W3CDTF">2026-07-13T01:47:55Z</dcterms:created>
  <dcterms:modified xsi:type="dcterms:W3CDTF">2026-07-13T01:47:55Z</dcterms:modified>
</cp:coreProperties>
</file>

<file path=docProps/custom.xml><?xml version="1.0" encoding="utf-8"?>
<Properties xmlns="http://schemas.openxmlformats.org/officeDocument/2006/custom-properties" xmlns:vt="http://schemas.openxmlformats.org/officeDocument/2006/docPropsVTypes"/>
</file>