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Computing</w:t>
      </w:r>
      <w:r>
        <w:t xml:space="preserve"> </w:t>
      </w:r>
      <w:r>
        <w:t xml:space="preserve">for</w:t>
      </w:r>
      <w:r>
        <w:t xml:space="preserve"> </w:t>
      </w:r>
      <w:r>
        <w:t xml:space="preserve">Berlin's</w:t>
      </w:r>
      <w:r>
        <w:t xml:space="preserve"> </w:t>
      </w:r>
      <w:r>
        <w:t xml:space="preserve">Smart</w:t>
      </w:r>
      <w:r>
        <w:t xml:space="preserve"> </w:t>
      </w:r>
      <w:r>
        <w:t xml:space="preserve">City</w:t>
      </w:r>
      <w:r>
        <w:t xml:space="preserve"> </w:t>
      </w:r>
      <w:r>
        <w:t xml:space="preserve">Ecosystem</w:t>
      </w:r>
    </w:p>
    <w:bookmarkStart w:id="28" w:name="X1aef3b2fba50b9767fc7748c4db44b5112ae763"/>
    <w:p>
      <w:pPr>
        <w:pStyle w:val="Heading1"/>
      </w:pPr>
      <w:r>
        <w:t xml:space="preserve">Research Proposal: Development of an AI-Driven Energy-Aware Computing Framework for Berlin's Urban Infrastructure</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Humboldt University of Berlin / Fraunhofer Society Collaboration</w:t>
      </w:r>
      <w:r>
        <w:br/>
      </w:r>
      <w:r>
        <w:rPr>
          <w:bCs/>
          <w:b/>
        </w:rPr>
        <w:t xml:space="preserve">Date:</w:t>
      </w:r>
      <w:r>
        <w:t xml:space="preserve"> </w:t>
      </w:r>
      <w:r>
        <w:t xml:space="preserve">October 26, 2023</w:t>
      </w:r>
    </w:p>
    <w:bookmarkStart w:id="20" w:name="X01b096a9aad18652994889315b2d4926a35e61d"/>
    <w:p>
      <w:pPr>
        <w:pStyle w:val="Heading2"/>
      </w:pPr>
      <w:r>
        <w:t xml:space="preserve">I. Introduction: The Imperative for Computer Engineering Innovation in Germany Berlin</w:t>
      </w:r>
    </w:p>
    <w:p>
      <w:pPr>
        <w:pStyle w:val="FirstParagraph"/>
      </w:pPr>
      <w:r>
        <w:t xml:space="preserve">The city of Berlin stands at the forefront of Europe's smart city revolution, with its ambitious "Smart City Strategy 2030" aiming to reduce carbon emissions by 65% while enhancing urban livability. As a leading hub for technology innovation in</w:t>
      </w:r>
      <w:r>
        <w:t xml:space="preserve"> </w:t>
      </w:r>
      <w:r>
        <w:rPr>
          <w:iCs/>
          <w:i/>
        </w:rPr>
        <w:t xml:space="preserve">Germany Berlin</w:t>
      </w:r>
      <w:r>
        <w:t xml:space="preserve">, the metropolis faces critical challenges in energy-efficient computing infrastructure for its expanding digital ecosystem. This Research Proposal addresses the urgent need for Computer Engineers to develop next-generation sustainable computing solutions that align with Germany's national climate targets (</w:t>
      </w:r>
      <w:r>
        <w:rPr>
          <w:iCs/>
          <w:i/>
        </w:rPr>
        <w:t xml:space="preserve">Netzneutralität 2045</w:t>
      </w:r>
      <w:r>
        <w:t xml:space="preserve">) and Berlin's unique urban complexity. With Berlin hosting over 7,000 tech startups and renowned institutions like Technical University of Berlin (TU Berlin) and Fraunhofer IAIS, the city offers an unparalleled ecosystem for Computer Engineer-led research that directly serves societal needs.</w:t>
      </w:r>
    </w:p>
    <w:bookmarkEnd w:id="20"/>
    <w:bookmarkStart w:id="21" w:name="X9f21f6b6405cbcb8368341d6174147fe1e0bdb8"/>
    <w:p>
      <w:pPr>
        <w:pStyle w:val="Heading2"/>
      </w:pPr>
      <w:r>
        <w:t xml:space="preserve">II. Problem Statement: Energy Inefficiency in Urban Digital Systems</w:t>
      </w:r>
    </w:p>
    <w:p>
      <w:pPr>
        <w:pStyle w:val="FirstParagraph"/>
      </w:pPr>
      <w:r>
        <w:t xml:space="preserve">Current urban computing systems in Berlin—including traffic management, public transport networks (BVG), and smart grid operations—consume approximately 18% of the city's total energy output, with data centers alone accounting for 4.3% of municipal electricity use (Berlin Energy Agency, 2022). Existing solutions rely on static algorithms that cannot dynamically adapt to real-time demand fluctuations in Germany's variable renewable energy landscape. This inefficiency directly contradicts Berlin's goal to become the first carbon-neutral European capital by 2045. Crucially, no existing framework integrates the multi-dimensional constraints of German energy policy, urban topography, and Berlin-specific mobility patterns into a unified computing architecture. As a Computer Engineer operating within</w:t>
      </w:r>
      <w:r>
        <w:t xml:space="preserve"> </w:t>
      </w:r>
      <w:r>
        <w:rPr>
          <w:iCs/>
          <w:i/>
        </w:rPr>
        <w:t xml:space="preserve">Germany Berlin</w:t>
      </w:r>
      <w:r>
        <w:t xml:space="preserve">, I propose addressing this gap through an AI-driven paradigm shift.</w:t>
      </w:r>
    </w:p>
    <w:bookmarkEnd w:id="21"/>
    <w:bookmarkStart w:id="22" w:name="iii.-research-objectives"/>
    <w:p>
      <w:pPr>
        <w:pStyle w:val="Heading2"/>
      </w:pPr>
      <w:r>
        <w:t xml:space="preserve">III. Research Objectives</w:t>
      </w:r>
    </w:p>
    <w:p>
      <w:pPr>
        <w:pStyle w:val="FirstParagraph"/>
      </w:pPr>
      <w:r>
        <w:t xml:space="preserve">This study aims to deliver three transformative outcomes for the Computer Engineer community in Berlin:</w:t>
      </w:r>
    </w:p>
    <w:p>
      <w:pPr>
        <w:numPr>
          <w:ilvl w:val="0"/>
          <w:numId w:val="1001"/>
        </w:numPr>
        <w:pStyle w:val="Compact"/>
      </w:pPr>
      <w:r>
        <w:rPr>
          <w:bCs/>
          <w:b/>
        </w:rPr>
        <w:t xml:space="preserve">Energy-Aware Resource Allocation Model:</w:t>
      </w:r>
      <w:r>
        <w:t xml:space="preserve"> </w:t>
      </w:r>
      <w:r>
        <w:t xml:space="preserve">Develop a machine learning framework that optimizes computational workloads across Berlin's municipal data centers (e.g., those supporting BVG and Senatsverwaltung) based on real-time renewable energy availability from Germany's grid (e.g., wind/solar fluctuations).</w:t>
      </w:r>
    </w:p>
    <w:p>
      <w:pPr>
        <w:numPr>
          <w:ilvl w:val="0"/>
          <w:numId w:val="1001"/>
        </w:numPr>
        <w:pStyle w:val="Compact"/>
      </w:pPr>
      <w:r>
        <w:rPr>
          <w:bCs/>
          <w:b/>
        </w:rPr>
        <w:t xml:space="preserve">Urban Context-Adaptive Scheduling:</w:t>
      </w:r>
      <w:r>
        <w:t xml:space="preserve"> </w:t>
      </w:r>
      <w:r>
        <w:t xml:space="preserve">Create a novel scheduling algorithm that considers Berlin's unique urban constraints: historical building density, seasonal weather patterns (e.g., 45% fog days in winter), and mobility hotspots identified through anonymized public transit data.</w:t>
      </w:r>
    </w:p>
    <w:p>
      <w:pPr>
        <w:numPr>
          <w:ilvl w:val="0"/>
          <w:numId w:val="1001"/>
        </w:numPr>
        <w:pStyle w:val="Compact"/>
      </w:pPr>
      <w:r>
        <w:rPr>
          <w:bCs/>
          <w:b/>
        </w:rPr>
        <w:t xml:space="preserve">Sustainability Impact Metrics:</w:t>
      </w:r>
      <w:r>
        <w:t xml:space="preserve"> </w:t>
      </w:r>
      <w:r>
        <w:t xml:space="preserve">Establish quantifiable KPIs for energy savings, CO2 reduction, and infrastructure resilience specific to Berlin's urban fabric—measuring success against the German Federal Environment Agency's 2035 targets.</w:t>
      </w:r>
    </w:p>
    <w:bookmarkEnd w:id="22"/>
    <w:bookmarkStart w:id="23" w:name="Xd356c7ac619bc22966ca7f5214cbfdf9ef5eba9"/>
    <w:p>
      <w:pPr>
        <w:pStyle w:val="Heading2"/>
      </w:pPr>
      <w:r>
        <w:t xml:space="preserve">IV. Methodology: Integrating Berlin's Ecosystem</w:t>
      </w:r>
    </w:p>
    <w:p>
      <w:pPr>
        <w:pStyle w:val="FirstParagraph"/>
      </w:pPr>
      <w:r>
        <w:t xml:space="preserve">This research will leverage Berlin's distinct advantages as a living lab for Computer Engineering:</w:t>
      </w:r>
    </w:p>
    <w:p>
      <w:pPr>
        <w:numPr>
          <w:ilvl w:val="0"/>
          <w:numId w:val="1002"/>
        </w:numPr>
        <w:pStyle w:val="Compact"/>
      </w:pPr>
      <w:r>
        <w:rPr>
          <w:bCs/>
          <w:b/>
        </w:rPr>
        <w:t xml:space="preserve">Collaborative Data Partnerships:</w:t>
      </w:r>
      <w:r>
        <w:t xml:space="preserve"> </w:t>
      </w:r>
      <w:r>
        <w:t xml:space="preserve">Secure access to anonymized energy consumption data from Berliner Verkehrsbetriebe (BVG) and the Berlin Energy Agency, with ethical approval from TU Berlin's Data Ethics Board.</w:t>
      </w:r>
    </w:p>
    <w:p>
      <w:pPr>
        <w:numPr>
          <w:ilvl w:val="0"/>
          <w:numId w:val="1002"/>
        </w:numPr>
        <w:pStyle w:val="Compact"/>
      </w:pPr>
      <w:r>
        <w:rPr>
          <w:bCs/>
          <w:b/>
        </w:rPr>
        <w:t xml:space="preserve">Hardware Integration:</w:t>
      </w:r>
      <w:r>
        <w:t xml:space="preserve"> </w:t>
      </w:r>
      <w:r>
        <w:t xml:space="preserve">Test prototypes on Fraunhofer IAIS' edge-computing infrastructure at the German AI Innovation Hub in Berlin, utilizing NVIDIA GPUs optimized for European energy standards.</w:t>
      </w:r>
    </w:p>
    <w:p>
      <w:pPr>
        <w:numPr>
          <w:ilvl w:val="0"/>
          <w:numId w:val="1002"/>
        </w:numPr>
        <w:pStyle w:val="Compact"/>
      </w:pPr>
      <w:r>
        <w:rPr>
          <w:bCs/>
          <w:b/>
        </w:rPr>
        <w:t xml:space="preserve">German Policy Alignment:</w:t>
      </w:r>
      <w:r>
        <w:t xml:space="preserve"> </w:t>
      </w:r>
      <w:r>
        <w:t xml:space="preserve">Embed compliance with Germany's</w:t>
      </w:r>
      <w:r>
        <w:t xml:space="preserve"> </w:t>
      </w:r>
      <w:r>
        <w:rPr>
          <w:iCs/>
          <w:i/>
        </w:rPr>
        <w:t xml:space="preserve">Energiewirtschaftsgesetz</w:t>
      </w:r>
      <w:r>
        <w:t xml:space="preserve"> </w:t>
      </w:r>
      <w:r>
        <w:t xml:space="preserve">(Energy Industry Act) and Berlin's "Digital Strategy 2030" into the algorithm design phase.</w:t>
      </w:r>
    </w:p>
    <w:p>
      <w:pPr>
        <w:numPr>
          <w:ilvl w:val="0"/>
          <w:numId w:val="1002"/>
        </w:numPr>
        <w:pStyle w:val="Compact"/>
      </w:pPr>
      <w:r>
        <w:rPr>
          <w:bCs/>
          <w:b/>
        </w:rPr>
        <w:t xml:space="preserve">Rapid Iteration Cycles:</w:t>
      </w:r>
      <w:r>
        <w:t xml:space="preserve"> </w:t>
      </w:r>
      <w:r>
        <w:t xml:space="preserve">Co-develop with Siemens Mobility (Berlin HQ) and startup accelerator PITTSBURG to deploy pilots in Tiergarten district within 18 months.</w:t>
      </w:r>
    </w:p>
    <w:bookmarkEnd w:id="23"/>
    <w:bookmarkStart w:id="24" w:name="X22fa3fd0cda14968a95cf18de60041754f89abb"/>
    <w:p>
      <w:pPr>
        <w:pStyle w:val="Heading2"/>
      </w:pPr>
      <w:r>
        <w:t xml:space="preserve">V. Literature Review: Bridging Global Research and Berlin's Context</w:t>
      </w:r>
    </w:p>
    <w:p>
      <w:pPr>
        <w:pStyle w:val="FirstParagraph"/>
      </w:pPr>
      <w:r>
        <w:t xml:space="preserve">While global research has explored energy-aware computing (e.g., Google's DeepMind for data centers), these frameworks lack localization. A 2021 study in</w:t>
      </w:r>
      <w:r>
        <w:t xml:space="preserve"> </w:t>
      </w:r>
      <w:r>
        <w:rPr>
          <w:iCs/>
          <w:i/>
        </w:rPr>
        <w:t xml:space="preserve">IEEE Transactions on Sustainable Computing</w:t>
      </w:r>
      <w:r>
        <w:t xml:space="preserve"> </w:t>
      </w:r>
      <w:r>
        <w:t xml:space="preserve">demonstrated a 30% energy reduction globally but failed to account for regional grid variability—critical in Germany where renewable penetration reaches 55%. Berlin-specific studies (e.g., TU Berlin's "Urban Energy Analytics," 2022) have addressed city-scale challenges but remain siloed from Computer Engineering best practices. This project uniquely synthesizes these threads by grounding innovation in Berlin's operational realities, positioning it as the first Research Proposal to merge computational theory with German urban policy.</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yield three deliverables with immediate applicability in</w:t>
      </w:r>
      <w:r>
        <w:t xml:space="preserve"> </w:t>
      </w:r>
      <w:r>
        <w:rPr>
          <w:iCs/>
          <w:i/>
        </w:rPr>
        <w:t xml:space="preserve">Germany Berlin</w:t>
      </w:r>
      <w:r>
        <w:t xml:space="preserve">:</w:t>
      </w:r>
    </w:p>
    <w:p>
      <w:pPr>
        <w:numPr>
          <w:ilvl w:val="0"/>
          <w:numId w:val="1003"/>
        </w:numPr>
        <w:pStyle w:val="Compact"/>
      </w:pPr>
      <w:r>
        <w:rPr>
          <w:bCs/>
          <w:b/>
        </w:rPr>
        <w:t xml:space="preserve">Pilot Deployment:</w:t>
      </w:r>
      <w:r>
        <w:t xml:space="preserve"> </w:t>
      </w:r>
      <w:r>
        <w:t xml:space="preserve">A functional energy-aware scheduling module for Berlin's municipal data centers, targeting 25% energy reduction during peak renewable generation hours (verified via Fraunhofer's testbed).</w:t>
      </w:r>
    </w:p>
    <w:p>
      <w:pPr>
        <w:numPr>
          <w:ilvl w:val="0"/>
          <w:numId w:val="1003"/>
        </w:numPr>
        <w:pStyle w:val="Compact"/>
      </w:pPr>
      <w:r>
        <w:rPr>
          <w:bCs/>
          <w:b/>
        </w:rPr>
        <w:t xml:space="preserve">Policy Toolkit:</w:t>
      </w:r>
      <w:r>
        <w:t xml:space="preserve"> </w:t>
      </w:r>
      <w:r>
        <w:t xml:space="preserve">An open-source framework for German cities to benchmark sustainability metrics against Berlin's standards—directly supporting the federal "Digital Agenda 2030" initiative.</w:t>
      </w:r>
    </w:p>
    <w:p>
      <w:pPr>
        <w:numPr>
          <w:ilvl w:val="0"/>
          <w:numId w:val="1003"/>
        </w:numPr>
        <w:pStyle w:val="Compact"/>
      </w:pPr>
      <w:r>
        <w:rPr>
          <w:bCs/>
          <w:b/>
        </w:rPr>
        <w:t xml:space="preserve">Workforce Development:</w:t>
      </w:r>
      <w:r>
        <w:t xml:space="preserve"> </w:t>
      </w:r>
      <w:r>
        <w:t xml:space="preserve">Training for 15 Computer Engineer interns through partnerships with Technische Hochschule Berlin and ZAL (Center for Applied Research in Logistics), addressing Germany's tech talent gap in green computing.</w:t>
      </w:r>
    </w:p>
    <w:p>
      <w:pPr>
        <w:pStyle w:val="FirstParagraph"/>
      </w:pPr>
      <w:r>
        <w:t xml:space="preserve">The significance extends beyond Berlin: This project will establish a replicable model for EU cities facing similar grid constraints. As the world's third-largest climate tech hub after London and Stockholm, Berlin must lead in sustainable computing—making this Research Proposal not merely an academic exercise, but a strategic necessity for Germany's technological sovereignty.</w:t>
      </w:r>
    </w:p>
    <w:bookmarkEnd w:id="25"/>
    <w:bookmarkStart w:id="26" w:name="vii.-timeline-and-resource-plan"/>
    <w:p>
      <w:pPr>
        <w:pStyle w:val="Heading2"/>
      </w:pPr>
      <w:r>
        <w:t xml:space="preserve">VII.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Integration &amp; Baseline Analysis</w:t>
            </w:r>
          </w:p>
        </w:tc>
        <w:tc>
          <w:tcPr/>
          <w:p>
            <w:pPr>
              <w:pStyle w:val="Compact"/>
              <w:jc w:val="left"/>
            </w:pPr>
            <w:r>
              <w:t xml:space="preserve">Months 1-6</w:t>
            </w:r>
          </w:p>
        </w:tc>
        <w:tc>
          <w:tcPr/>
          <w:p>
            <w:pPr>
              <w:pStyle w:val="Compact"/>
              <w:jc w:val="left"/>
            </w:pPr>
            <w:r>
              <w:t xml:space="preserve">Berlin-specific energy usage model; Ethical approval from TU Berlin Ethics Committee</w:t>
            </w:r>
          </w:p>
        </w:tc>
      </w:tr>
      <w:tr>
        <w:tc>
          <w:tcPr/>
          <w:p>
            <w:pPr>
              <w:pStyle w:val="Compact"/>
              <w:jc w:val="left"/>
            </w:pPr>
            <w:r>
              <w:t xml:space="preserve">Algorithm Development &amp; Simulation</w:t>
            </w:r>
          </w:p>
        </w:tc>
        <w:tc>
          <w:tcPr/>
          <w:p>
            <w:pPr>
              <w:pStyle w:val="Compact"/>
              <w:jc w:val="left"/>
            </w:pPr>
            <w:r>
              <w:t xml:space="preserve">Months 7-15</w:t>
            </w:r>
          </w:p>
        </w:tc>
        <w:tc>
          <w:tcPr/>
          <w:p>
            <w:pPr>
              <w:pStyle w:val="Compact"/>
              <w:jc w:val="left"/>
            </w:pPr>
            <w:r>
              <w:t xml:space="preserve">ML framework prototype; Validation against BVG's historical data (2019-2023)</w:t>
            </w:r>
          </w:p>
        </w:tc>
      </w:tr>
      <w:tr>
        <w:tc>
          <w:tcPr/>
          <w:p>
            <w:pPr>
              <w:pStyle w:val="Compact"/>
              <w:jc w:val="left"/>
            </w:pPr>
            <w:r>
              <w:t xml:space="preserve">Berlin Pilot Deployment &amp; Optimization</w:t>
            </w:r>
          </w:p>
        </w:tc>
        <w:tc>
          <w:tcPr/>
          <w:p>
            <w:pPr>
              <w:pStyle w:val="Compact"/>
              <w:jc w:val="left"/>
            </w:pPr>
            <w:r>
              <w:t xml:space="preserve">Months 16-24</w:t>
            </w:r>
          </w:p>
        </w:tc>
        <w:tc>
          <w:tcPr/>
          <w:p>
            <w:pPr>
              <w:pStyle w:val="Compact"/>
              <w:jc w:val="left"/>
            </w:pPr>
            <w:r>
              <w:t xml:space="preserve">Live system at Fraunhofer IAIS; Quantified 15%+ energy reduction report</w:t>
            </w:r>
          </w:p>
        </w:tc>
      </w:tr>
    </w:tbl>
    <w:bookmarkEnd w:id="26"/>
    <w:bookmarkStart w:id="27" w:name="X7b31c3591ce4a80dcdce508588a5108ee663a90"/>
    <w:p>
      <w:pPr>
        <w:pStyle w:val="Heading2"/>
      </w:pPr>
      <w:r>
        <w:t xml:space="preserve">VIII. Conclusion: A Computer Engineer's Role in Shaping Berlin's Future</w:t>
      </w:r>
    </w:p>
    <w:p>
      <w:pPr>
        <w:pStyle w:val="FirstParagraph"/>
      </w:pPr>
      <w:r>
        <w:t xml:space="preserve">In the heart of</w:t>
      </w:r>
      <w:r>
        <w:t xml:space="preserve"> </w:t>
      </w:r>
      <w:r>
        <w:rPr>
          <w:iCs/>
          <w:i/>
        </w:rPr>
        <w:t xml:space="preserve">Germany Berlin</w:t>
      </w:r>
      <w:r>
        <w:t xml:space="preserve">, where innovation meets urban responsibility, this Research Proposal defines a critical path for Computer Engineers to drive tangible climate action. By developing energy-aware computing that respects Germany's renewable grid constraints and Berlin's unique spatial dynamics, we move beyond theoretical computer science into real-world impact. The proposed framework will not only reduce carbon footprints but also strengthen Berlin's position as a global leader in ethical technology—proving that Computer Engineering excellence is inseparable from societal purpose. As a dedicated Computer Engineer committed to Germany's sustainable future, I offer my expertise to transform this vision into reality, ensuring Berlin remains at the vanguard of the digital-ecological revolution.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Computing for Berlin's Smart City Ecosystem</dc:title>
  <dc:creator/>
  <dc:language>en</dc:language>
  <cp:keywords/>
  <dcterms:created xsi:type="dcterms:W3CDTF">2026-03-03T20:20:39Z</dcterms:created>
  <dcterms:modified xsi:type="dcterms:W3CDTF">2026-03-03T20:20:39Z</dcterms:modified>
</cp:coreProperties>
</file>

<file path=docProps/custom.xml><?xml version="1.0" encoding="utf-8"?>
<Properties xmlns="http://schemas.openxmlformats.org/officeDocument/2006/custom-properties" xmlns:vt="http://schemas.openxmlformats.org/officeDocument/2006/docPropsVTypes"/>
</file>