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32" w:name="X41fa1d90288b53d50edcc5077cc43fe282d175e"/>
    <w:p>
      <w:pPr>
        <w:pStyle w:val="Heading1"/>
      </w:pPr>
      <w:r>
        <w:t xml:space="preserve">Research Proposal: Developing Future-Ready Curricula for Australian Educational Ecosystems in Melbourne</w:t>
      </w:r>
    </w:p>
    <w:bookmarkStart w:id="20" w:name="introduction"/>
    <w:p>
      <w:pPr>
        <w:pStyle w:val="Heading2"/>
      </w:pPr>
      <w:r>
        <w:t xml:space="preserve">Introduction</w:t>
      </w:r>
    </w:p>
    <w:p>
      <w:pPr>
        <w:pStyle w:val="FirstParagraph"/>
      </w:pPr>
      <w:r>
        <w:t xml:space="preserve">In the dynamic educational landscape of Australia Melbourne, the role of a Curriculum Developer has evolved from traditional syllabus design to strategic innovation catalyst. This Research Proposal outlines a comprehensive investigation into optimizing curriculum frameworks that align with Victoria's educational priorities, global competencies, and Melbourne's multicultural demographic realities. As Australia's most populous city and a UNESCO City of Literature, Melbourne presents unique opportunities for transformative curriculum development that must address the complex needs of its diverse student population—over 40% of whom speak a language other than English at home (VCAA, 2023).</w:t>
      </w:r>
    </w:p>
    <w:bookmarkEnd w:id="20"/>
    <w:bookmarkStart w:id="21" w:name="problem-statement"/>
    <w:p>
      <w:pPr>
        <w:pStyle w:val="Heading2"/>
      </w:pPr>
      <w:r>
        <w:t xml:space="preserve">Problem Statement</w:t>
      </w:r>
    </w:p>
    <w:p>
      <w:pPr>
        <w:pStyle w:val="FirstParagraph"/>
      </w:pPr>
      <w:r>
        <w:t xml:space="preserve">Current curriculum implementation in Melbourne's schools faces critical challenges: fragmented alignment between national standards (Australian Curriculum) and localized community needs, insufficient integration of digital literacy across disciplines, and inadequate preparation for emerging workforce demands. A 2023 ACARA report revealed that only 38% of Melbourne secondary students demonstrated proficiency in interdisciplinary problem-solving—a core competency emphasized in the Victorian Curriculum Framework. This gap disproportionately impacts socioeconomically disadvantaged communities across Melbourne's outer suburbs. The absence of a cohesive, evidence-based approach to curriculum design as a strategic lever for equity and excellence necessitates urgent research to guide the next generation of Curriculum Developer practices.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frameworks across Melbourne's metropolitan school networks against the Victorian Essential Learning Standards (VELS) and UNESCO’s Global Citizenship Education indicators.</w:t>
      </w:r>
    </w:p>
    <w:p>
      <w:pPr>
        <w:numPr>
          <w:ilvl w:val="0"/>
          <w:numId w:val="1001"/>
        </w:numPr>
        <w:pStyle w:val="Compact"/>
      </w:pPr>
      <w:r>
        <w:t xml:space="preserve">To co-design a modular curriculum development model with 15 Melbourne schools, incorporating Indigenous perspectives, sustainability literacy, and AI ethics—critical for Australia's future workforce.</w:t>
      </w:r>
    </w:p>
    <w:p>
      <w:pPr>
        <w:numPr>
          <w:ilvl w:val="0"/>
          <w:numId w:val="1001"/>
        </w:numPr>
        <w:pStyle w:val="Compact"/>
      </w:pPr>
      <w:r>
        <w:t xml:space="preserve">To evaluate the impact of contextually responsive curricula on student engagement and achievement gaps in multicultural Melbourne settings.</w:t>
      </w:r>
    </w:p>
    <w:bookmarkEnd w:id="22"/>
    <w:bookmarkStart w:id="23" w:name="literature-review"/>
    <w:p>
      <w:pPr>
        <w:pStyle w:val="Heading2"/>
      </w:pPr>
      <w:r>
        <w:t xml:space="preserve">Literature Review</w:t>
      </w:r>
    </w:p>
    <w:p>
      <w:pPr>
        <w:pStyle w:val="FirstParagraph"/>
      </w:pPr>
      <w:r>
        <w:t xml:space="preserve">Existing scholarship on curriculum development (e.g., Fullan, 2014; Wiggins &amp; McTighe, 2015) emphasizes coherence and transferable skills but lacks Australia-specific case studies for urban contexts. Research by the Melbourne Graduate School of Education (2022) identified a disconnect between national frameworks and Melbourne's linguistic diversity. Crucially, no prior study has examined how a Curriculum Developer can operationalize "future-ready" learning within Victoria’s mandated structures while addressing socio-cultural realities of cities like Melbourne, where 31% of residents are born overseas (ABS, 2023). This research bridges that gap by situating curriculum innovation within Australia's national education agenda and Melbourne's unique urban ecosystem.</w:t>
      </w:r>
    </w:p>
    <w:bookmarkEnd w:id="23"/>
    <w:bookmarkStart w:id="27" w:name="methodology"/>
    <w:p>
      <w:pPr>
        <w:pStyle w:val="Heading2"/>
      </w:pPr>
      <w:r>
        <w:t xml:space="preserve">Methodology</w:t>
      </w:r>
    </w:p>
    <w:p>
      <w:pPr>
        <w:pStyle w:val="FirstParagraph"/>
      </w:pPr>
      <w:r>
        <w:t xml:space="preserve">This mixed-methods study employs a participatory action research design across three phases:</w:t>
      </w:r>
    </w:p>
    <w:bookmarkStart w:id="24" w:name="phase-1-diagnostic-audit-months-1-4"/>
    <w:p>
      <w:pPr>
        <w:pStyle w:val="Heading3"/>
      </w:pPr>
      <w:r>
        <w:t xml:space="preserve">Phase 1: Diagnostic Audit (Months 1-4)</w:t>
      </w:r>
    </w:p>
    <w:p>
      <w:pPr>
        <w:numPr>
          <w:ilvl w:val="0"/>
          <w:numId w:val="1002"/>
        </w:numPr>
        <w:pStyle w:val="Compact"/>
      </w:pPr>
      <w:r>
        <w:t xml:space="preserve">Quantitative analysis of curriculum mapping data from 20 Melbourne P-12 schools</w:t>
      </w:r>
    </w:p>
    <w:p>
      <w:pPr>
        <w:numPr>
          <w:ilvl w:val="0"/>
          <w:numId w:val="1002"/>
        </w:numPr>
        <w:pStyle w:val="Compact"/>
      </w:pPr>
      <w:r>
        <w:t xml:space="preserve">Qualitative focus groups with Curriculum Developers, teachers, and Indigenous Elders from the Victorian Aboriginal Corporation for Languages</w:t>
      </w:r>
    </w:p>
    <w:bookmarkEnd w:id="24"/>
    <w:bookmarkStart w:id="25" w:name="phase-2-co-creation-lab-months-5-8"/>
    <w:p>
      <w:pPr>
        <w:pStyle w:val="Heading3"/>
      </w:pPr>
      <w:r>
        <w:t xml:space="preserve">Phase 2: Co-Creation Lab (Months 5-8)</w:t>
      </w:r>
    </w:p>
    <w:p>
      <w:pPr>
        <w:numPr>
          <w:ilvl w:val="0"/>
          <w:numId w:val="1003"/>
        </w:numPr>
        <w:pStyle w:val="Compact"/>
      </w:pPr>
      <w:r>
        <w:t xml:space="preserve">Design sprints involving Curriculum Developers to develop adaptable curriculum modules</w:t>
      </w:r>
    </w:p>
    <w:p>
      <w:pPr>
        <w:numPr>
          <w:ilvl w:val="0"/>
          <w:numId w:val="1003"/>
        </w:numPr>
        <w:pStyle w:val="Compact"/>
      </w:pPr>
      <w:r>
        <w:t xml:space="preserve">Integration of Melbourne-specific case studies (e.g., urban sustainability projects, multicultural community narratives)</w:t>
      </w:r>
    </w:p>
    <w:bookmarkEnd w:id="25"/>
    <w:bookmarkStart w:id="26" w:name="X45935bd789dc44f7984b0865a9220b7a250276f"/>
    <w:p>
      <w:pPr>
        <w:pStyle w:val="Heading3"/>
      </w:pPr>
      <w:r>
        <w:t xml:space="preserve">Phase 3: Implementation &amp; Evaluation (Months 9-14)</w:t>
      </w:r>
    </w:p>
    <w:p>
      <w:pPr>
        <w:numPr>
          <w:ilvl w:val="0"/>
          <w:numId w:val="1004"/>
        </w:numPr>
        <w:pStyle w:val="Compact"/>
      </w:pPr>
      <w:r>
        <w:t xml:space="preserve">Piloting modules in 8 diverse Melbourne schools with pre/post assessments</w:t>
      </w:r>
    </w:p>
    <w:p>
      <w:pPr>
        <w:numPr>
          <w:ilvl w:val="0"/>
          <w:numId w:val="1004"/>
        </w:numPr>
        <w:pStyle w:val="Compact"/>
      </w:pPr>
      <w:r>
        <w:t xml:space="preserve">Longitudinal tracking of student outcomes using VCAA's Victorian Student Learning Survey data</w:t>
      </w:r>
    </w:p>
    <w:p>
      <w:pPr>
        <w:pStyle w:val="FirstParagraph"/>
      </w:pPr>
      <w:r>
        <w:t xml:space="preserve">Research ethics will be approved by Deakin University's Human Research Ethics Committee, ensuring culturally safe protocols for Aboriginal and Torres Strait Islander participants. Data triangulation will include teacher journals, student portfolios, and community stakeholder feedback—essential for authentic Curriculum Developer practice in Australia Melbourne.</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t xml:space="preserve">A replicable Curriculum Developer toolkit with Melbourne-specific resources (e.g., multilingual competency rubrics, placemaking activities for inner-city schools)</w:t>
      </w:r>
    </w:p>
    <w:p>
      <w:pPr>
        <w:numPr>
          <w:ilvl w:val="0"/>
          <w:numId w:val="1005"/>
        </w:numPr>
        <w:pStyle w:val="Compact"/>
      </w:pPr>
      <w:r>
        <w:t xml:space="preserve">Evidence-based framework linking curriculum design to the Victorian Government’s "Education State" priority areas</w:t>
      </w:r>
    </w:p>
    <w:p>
      <w:pPr>
        <w:numPr>
          <w:ilvl w:val="0"/>
          <w:numId w:val="1005"/>
        </w:numPr>
        <w:pStyle w:val="Compact"/>
      </w:pPr>
      <w:r>
        <w:t xml:space="preserve">Policy briefs for the Department of Education Victoria on embedding equity in curriculum sequencing</w:t>
      </w:r>
    </w:p>
    <w:p>
      <w:pPr>
        <w:pStyle w:val="FirstParagraph"/>
      </w:pPr>
      <w:r>
        <w:t xml:space="preserve">Significantly, outcomes will directly address Melbourne's educational challenges: reducing achievement gaps in multicultural settings while preparing students for Australia's 2030 workforce demands. The research positions the Curriculum Developer as a strategic change agent rather than a passive implementer—critical for Australia’s global education standing.</w:t>
      </w:r>
    </w:p>
    <w:bookmarkEnd w:id="28"/>
    <w:bookmarkStart w:id="29" w:name="significance-to-australia-melbourne"/>
    <w:p>
      <w:pPr>
        <w:pStyle w:val="Heading2"/>
      </w:pPr>
      <w:r>
        <w:t xml:space="preserve">Significance to Australia Melbourne</w:t>
      </w:r>
    </w:p>
    <w:p>
      <w:pPr>
        <w:pStyle w:val="FirstParagraph"/>
      </w:pPr>
      <w:r>
        <w:t xml:space="preserve">Melbourne is Australia's educational innovation hub, home to 5 of the nation's top 10 universities and the Victorian Curriculum and Assessment Authority (VCAA). This project directly responds to Victoria’s "Education State" strategy by empowering Curriculum Developers to: (1) leverage Melbourne’s cultural capital through localized content; (2) address systemic inequities exposed by the pandemic; and (3) prepare students for jobs in emerging sectors like renewable energy, AI, and creative industries—where Melbourne holds 65% of Australia's market share.</w:t>
      </w:r>
    </w:p>
    <w:bookmarkEnd w:id="29"/>
    <w:bookmarkStart w:id="30" w:name="timeline-budget"/>
    <w:p>
      <w:pPr>
        <w:pStyle w:val="Heading2"/>
      </w:pPr>
      <w:r>
        <w:t xml:space="preserve">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w:t>
            </w:r>
          </w:p>
        </w:tc>
      </w:tr>
      <w:tr>
        <w:tc>
          <w:tcPr/>
          <w:p>
            <w:pPr>
              <w:pStyle w:val="Compact"/>
              <w:jc w:val="left"/>
            </w:pPr>
            <w:r>
              <w:t xml:space="preserve">Diagnostic Audit</w:t>
            </w:r>
          </w:p>
        </w:tc>
        <w:tc>
          <w:tcPr/>
          <w:p>
            <w:pPr>
              <w:pStyle w:val="Compact"/>
              <w:jc w:val="left"/>
            </w:pPr>
            <w:r>
              <w:t xml:space="preserve">4 months</w:t>
            </w:r>
          </w:p>
        </w:tc>
        <w:tc>
          <w:tcPr/>
          <w:p>
            <w:pPr>
              <w:pStyle w:val="Compact"/>
              <w:jc w:val="left"/>
            </w:pPr>
            <w:r>
              <w:t xml:space="preserve">$85,000 (data tools, community engagement)</w:t>
            </w:r>
          </w:p>
        </w:tc>
      </w:tr>
      <w:tr>
        <w:tc>
          <w:tcPr/>
          <w:p>
            <w:pPr>
              <w:pStyle w:val="Compact"/>
              <w:jc w:val="left"/>
            </w:pPr>
            <w:r>
              <w:t xml:space="preserve">Co-Creation Lab</w:t>
            </w:r>
          </w:p>
        </w:tc>
        <w:tc>
          <w:tcPr/>
          <w:p>
            <w:pPr>
              <w:pStyle w:val="Compact"/>
              <w:jc w:val="left"/>
            </w:pPr>
            <w:r>
              <w:t xml:space="preserve">4 months</w:t>
            </w:r>
          </w:p>
        </w:tc>
        <w:tc>
          <w:tcPr/>
          <w:p>
            <w:pPr>
              <w:pStyle w:val="Compact"/>
              <w:jc w:val="left"/>
            </w:pPr>
            <w:r>
              <w:t xml:space="preserve">$120,000 (workshop facilitation, resource development)</w:t>
            </w:r>
          </w:p>
        </w:tc>
      </w:tr>
      <w:tr>
        <w:tc>
          <w:tcPr/>
          <w:p>
            <w:pPr>
              <w:pStyle w:val="Compact"/>
              <w:jc w:val="left"/>
            </w:pPr>
            <w:r>
              <w:t xml:space="preserve">Implementation &amp; Evaluation</w:t>
            </w:r>
          </w:p>
        </w:tc>
        <w:tc>
          <w:tcPr/>
          <w:p>
            <w:pPr>
              <w:pStyle w:val="Compact"/>
              <w:jc w:val="left"/>
            </w:pPr>
            <w:r>
              <w:t xml:space="preserve">6 months</w:t>
            </w:r>
          </w:p>
        </w:tc>
        <w:tc>
          <w:tcPr/>
          <w:p>
            <w:pPr>
              <w:pStyle w:val="Compact"/>
              <w:jc w:val="left"/>
            </w:pPr>
            <w:r>
              <w:t xml:space="preserve">$155,000 (school partnerships, evaluation specialists)</w:t>
            </w:r>
          </w:p>
        </w:tc>
      </w:tr>
    </w:tbl>
    <w:bookmarkEnd w:id="30"/>
    <w:bookmarkStart w:id="31" w:name="conclusion"/>
    <w:p>
      <w:pPr>
        <w:pStyle w:val="Heading2"/>
      </w:pPr>
      <w:r>
        <w:t xml:space="preserve">Conclusion</w:t>
      </w:r>
    </w:p>
    <w:p>
      <w:pPr>
        <w:pStyle w:val="FirstParagraph"/>
      </w:pPr>
      <w:r>
        <w:t xml:space="preserve">This Research Proposal establishes a vital pathway for elevating the Curriculum Developer role within Australia Melbourne's educational ecosystem. By centering local context while aligning with national frameworks, it moves beyond generic curriculum models to create living documents that evolve with Melbourne’s communities. The project directly supports Australia’s strategic goals in education quality and equity, ensuring Curriculum Developers become indispensable architects of inclusive futures for all students—whether in a Victorian government school on the Yarra River or a multicultural classroom in Footscray. As Melbourne continues to grow as a global city, this research will provide the evidence base needed to transform curriculum design from compliance-driven activity into a dynamic engine for social and economic prosperity across Australia.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Australia Melbourne Context</dc:title>
  <dc:creator/>
  <dc:language>en</dc:language>
  <cp:keywords/>
  <dcterms:created xsi:type="dcterms:W3CDTF">2026-04-24T12:31:22Z</dcterms:created>
  <dcterms:modified xsi:type="dcterms:W3CDTF">2026-04-24T12:31:22Z</dcterms:modified>
</cp:coreProperties>
</file>

<file path=docProps/custom.xml><?xml version="1.0" encoding="utf-8"?>
<Properties xmlns="http://schemas.openxmlformats.org/officeDocument/2006/custom-properties" xmlns:vt="http://schemas.openxmlformats.org/officeDocument/2006/docPropsVTypes"/>
</file>