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28" w:name="X312f5f0d271609dcc515e8c48514108d3a4f2fe"/>
    <w:p>
      <w:pPr>
        <w:pStyle w:val="Heading1"/>
      </w:pPr>
      <w:r>
        <w:t xml:space="preserve">Research Proposal: Advancing Curriculum Development for Educational Excellence in Jakarta, Indonesia</w:t>
      </w:r>
    </w:p>
    <w:bookmarkStart w:id="20" w:name="introduction-and-background"/>
    <w:p>
      <w:pPr>
        <w:pStyle w:val="Heading2"/>
      </w:pPr>
      <w:r>
        <w:t xml:space="preserve">1. Introduction and Background</w:t>
      </w:r>
    </w:p>
    <w:p>
      <w:pPr>
        <w:pStyle w:val="FirstParagraph"/>
      </w:pPr>
      <w:r>
        <w:t xml:space="preserve">The educational landscape of Indonesia Jakarta faces unprecedented challenges and opportunities in the 21st century. As the nation's political, economic, and cultural epicenter, Jakarta's schools serve over 3 million students across public and private institutions (Ministry of Education, 2023). Despite national initiatives like Merdeka Belajar (Freedom to Learn), a critical gap persists in localized curriculum development that addresses Jakarta's unique socio-cultural context. The</w:t>
      </w:r>
      <w:r>
        <w:t xml:space="preserve"> </w:t>
      </w:r>
      <w:r>
        <w:rPr>
          <w:iCs/>
          <w:i/>
        </w:rPr>
        <w:t xml:space="preserve">Curriculum Developer</w:t>
      </w:r>
      <w:r>
        <w:t xml:space="preserve"> </w:t>
      </w:r>
      <w:r>
        <w:t xml:space="preserve">role remains underdefined, often relegated to administrative tasks rather than strategic educational design. This research proposes an evidence-based framework for professionalizing the Curriculum Developer position specifically tailored for Jakarta's diverse urban ecosystem—where 70% of students come from multicultural backgrounds and face digital divide challenges (UNICEF Indonesia, 2022). Without contextually grounded curriculum innovation, Jakarta risks perpetuating educational inequity in Southeast Asia's largest megacity.</w:t>
      </w:r>
    </w:p>
    <w:bookmarkEnd w:id="20"/>
    <w:bookmarkStart w:id="21" w:name="problem-statement"/>
    <w:p>
      <w:pPr>
        <w:pStyle w:val="Heading2"/>
      </w:pPr>
      <w:r>
        <w:t xml:space="preserve">2. Problem Statement</w:t>
      </w:r>
    </w:p>
    <w:p>
      <w:pPr>
        <w:pStyle w:val="FirstParagraph"/>
      </w:pPr>
      <w:r>
        <w:t xml:space="preserve">Current curriculum implementation in Jakarta relies heavily on national frameworks that fail to address localized needs. A 2023 Jakarta Education Office audit revealed 68% of schools report "inability to adapt national standards to community contexts" as a primary barrier to quality learning (Jakarta Dinas Pendidikan, 2023). Crucially, the</w:t>
      </w:r>
      <w:r>
        <w:t xml:space="preserve"> </w:t>
      </w:r>
      <w:r>
        <w:rPr>
          <w:iCs/>
          <w:i/>
        </w:rPr>
        <w:t xml:space="preserve">Curriculum Developer</w:t>
      </w:r>
      <w:r>
        <w:t xml:space="preserve">—a pivotal role in translating policy into practice—is often filled by teachers without specialized training in curriculum design. This results in fragmented pedagogy, especially for Jakarta's vulnerable populations: migrant communities (15% of students), low-income neighborhoods (e.g., Cilincing), and religious minority groups. The absence of a Jakarta-specific</w:t>
      </w:r>
      <w:r>
        <w:t xml:space="preserve"> </w:t>
      </w:r>
      <w:r>
        <w:rPr>
          <w:iCs/>
          <w:i/>
        </w:rPr>
        <w:t xml:space="preserve">Curriculum Developer</w:t>
      </w:r>
      <w:r>
        <w:t xml:space="preserve"> </w:t>
      </w:r>
      <w:r>
        <w:t xml:space="preserve">competency standard hinders the city's vision to become an ASEAN educational hub by 2030.</w:t>
      </w:r>
    </w:p>
    <w:bookmarkEnd w:id="21"/>
    <w:bookmarkStart w:id="22" w:name="literature-review"/>
    <w:p>
      <w:pPr>
        <w:pStyle w:val="Heading2"/>
      </w:pPr>
      <w:r>
        <w:t xml:space="preserve">3. Literature Review</w:t>
      </w:r>
    </w:p>
    <w:p>
      <w:pPr>
        <w:pStyle w:val="FirstParagraph"/>
      </w:pPr>
      <w:r>
        <w:t xml:space="preserve">Global research underscores that effective curriculum development must be context-sensitive (Fullan, 2015). In Southeast Asia, Singapore's "Teach Less, Learn More" initiative succeeded through district-level curriculum architects (Chia &amp; Tan, 2018). However, Indonesia's decentralized system lacks Jakarta-specific models. Studies on Indonesian education highlight the "one-size-fits-all" flaw of national curricula (Gani et al., 2021), while local case studies in Bandung and Surabaya demonstrate that place-based curriculum design improves student engagement by 40% (Wardani &amp; Suryati, 2022). Notably, no research has examined the</w:t>
      </w:r>
      <w:r>
        <w:t xml:space="preserve"> </w:t>
      </w:r>
      <w:r>
        <w:rPr>
          <w:iCs/>
          <w:i/>
        </w:rPr>
        <w:t xml:space="preserve">Curriculum Developer</w:t>
      </w:r>
      <w:r>
        <w:t xml:space="preserve"> </w:t>
      </w:r>
      <w:r>
        <w:t xml:space="preserve">role within Jakarta's urban complexity—where rapid urbanization, climate vulnerability (e.g., flooding in North Jakarta), and digital acceleration demand innovative pedagogy. This gap necessitates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study aims to design a Jakarta-centric Curriculum Developer framework through four key objectives:</w:t>
      </w:r>
    </w:p>
    <w:p>
      <w:pPr>
        <w:numPr>
          <w:ilvl w:val="0"/>
          <w:numId w:val="1001"/>
        </w:numPr>
        <w:pStyle w:val="Compact"/>
      </w:pPr>
      <w:r>
        <w:t xml:space="preserve">To analyze socio-educational challenges facing Jakarta's 1,500+ schools across 5 administrative districts.</w:t>
      </w:r>
    </w:p>
    <w:p>
      <w:pPr>
        <w:numPr>
          <w:ilvl w:val="0"/>
          <w:numId w:val="1001"/>
        </w:numPr>
        <w:pStyle w:val="Compact"/>
      </w:pPr>
      <w:r>
        <w:t xml:space="preserve">To develop a competency matrix for the Curriculum Developer role integrating national standards and Jakarta's cultural-demographic realities.</w:t>
      </w:r>
    </w:p>
    <w:p>
      <w:pPr>
        <w:numPr>
          <w:ilvl w:val="0"/>
          <w:numId w:val="1001"/>
        </w:numPr>
        <w:pStyle w:val="Compact"/>
      </w:pPr>
      <w:r>
        <w:t xml:space="preserve">To co-create a pilot curriculum module addressing Jakarta-specific issues (e.g., flood-resilient learning, digital inclusion).</w:t>
      </w:r>
    </w:p>
    <w:p>
      <w:pPr>
        <w:numPr>
          <w:ilvl w:val="0"/>
          <w:numId w:val="1001"/>
        </w:numPr>
        <w:pStyle w:val="Compact"/>
      </w:pPr>
      <w:r>
        <w:t xml:space="preserve">To evaluate the impact of the new framework on student outcomes in 20 partner schools.</w:t>
      </w:r>
    </w:p>
    <w:p>
      <w:pPr>
        <w:pStyle w:val="FirstParagraph"/>
      </w:pPr>
      <w:r>
        <w:t xml:space="preserve">Key research questions include: How can a Curriculum Developer uniquely navigate Jakarta's intersection of tradition and modernity? What competencies are critical for designing curricula responsive to both Kompetensi Dasar (Basic Competencies) and community needs?</w:t>
      </w:r>
    </w:p>
    <w:bookmarkEnd w:id="23"/>
    <w:bookmarkStart w:id="24" w:name="methodology"/>
    <w:p>
      <w:pPr>
        <w:pStyle w:val="Heading2"/>
      </w:pPr>
      <w:r>
        <w:t xml:space="preserve">5. Methodology</w:t>
      </w:r>
    </w:p>
    <w:p>
      <w:pPr>
        <w:pStyle w:val="FirstParagraph"/>
      </w:pPr>
      <w:r>
        <w:t xml:space="preserve">A mixed-methods approach will be deployed over 18 months, aligning with Indonesia's academic calendar:</w:t>
      </w:r>
    </w:p>
    <w:p>
      <w:pPr>
        <w:numPr>
          <w:ilvl w:val="0"/>
          <w:numId w:val="1002"/>
        </w:numPr>
        <w:pStyle w:val="Compact"/>
      </w:pPr>
      <w:r>
        <w:rPr>
          <w:bCs/>
          <w:b/>
        </w:rPr>
        <w:t xml:space="preserve">Phase 1 (Months 1-4):</w:t>
      </w:r>
      <w:r>
        <w:t xml:space="preserve"> </w:t>
      </w:r>
      <w:r>
        <w:t xml:space="preserve">Quantitative surveys with 300 Jakarta teachers and administrators; focus groups with parents in high-migration districts (e.g., Kramatjati).</w:t>
      </w:r>
    </w:p>
    <w:p>
      <w:pPr>
        <w:numPr>
          <w:ilvl w:val="0"/>
          <w:numId w:val="1002"/>
        </w:numPr>
        <w:pStyle w:val="Compact"/>
      </w:pPr>
      <w:r>
        <w:rPr>
          <w:bCs/>
          <w:b/>
        </w:rPr>
        <w:t xml:space="preserve">Phase 2 (Months 5-8):</w:t>
      </w:r>
      <w:r>
        <w:t xml:space="preserve"> </w:t>
      </w:r>
      <w:r>
        <w:t xml:space="preserve">Participatory action research: Co-designing curriculum prototypes with Curriculum Developers from Jakarta schools, using digital tools like Google Classroom for collaborative editing.</w:t>
      </w:r>
    </w:p>
    <w:p>
      <w:pPr>
        <w:numPr>
          <w:ilvl w:val="0"/>
          <w:numId w:val="1002"/>
        </w:numPr>
        <w:pStyle w:val="Compact"/>
      </w:pPr>
      <w:r>
        <w:rPr>
          <w:bCs/>
          <w:b/>
        </w:rPr>
        <w:t xml:space="preserve">Phase 3 (Months 9-14):</w:t>
      </w:r>
      <w:r>
        <w:t xml:space="preserve"> </w:t>
      </w:r>
      <w:r>
        <w:t xml:space="preserve">Pilot implementation in 20 schools across low-, middle-, and high-income zones; pre/post assessments measuring student critical thinking and cultural responsiveness.</w:t>
      </w:r>
    </w:p>
    <w:p>
      <w:pPr>
        <w:numPr>
          <w:ilvl w:val="0"/>
          <w:numId w:val="1002"/>
        </w:numPr>
        <w:pStyle w:val="Compact"/>
      </w:pPr>
      <w:r>
        <w:rPr>
          <w:bCs/>
          <w:b/>
        </w:rPr>
        <w:t xml:space="preserve">Phase 4 (Months 15-18):</w:t>
      </w:r>
      <w:r>
        <w:t xml:space="preserve"> </w:t>
      </w:r>
      <w:r>
        <w:t xml:space="preserve">Policy analysis with Jakarta Dinas Pendidikan to embed findings into city-level training programs.</w:t>
      </w:r>
    </w:p>
    <w:p>
      <w:pPr>
        <w:pStyle w:val="FirstParagraph"/>
      </w:pPr>
      <w:r>
        <w:t xml:space="preserve">Data will be triangulated via classroom observations, digital analytics of curriculum usage, and stakeholder interviews. Ethical approval will be secured through the University of Indonesia's Ethics Committee (KEPK-UI), with all participants anonymized per Indonesian Law No. 18/2017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Jakarta-specific Curriculum Developer Competency Framework, including modules on urban sustainability (e.g., integrating flood education into science classes) and digital pedagogy for low-bandwidth areas.</w:t>
      </w:r>
    </w:p>
    <w:p>
      <w:pPr>
        <w:numPr>
          <w:ilvl w:val="0"/>
          <w:numId w:val="1003"/>
        </w:numPr>
        <w:pStyle w:val="Compact"/>
      </w:pPr>
      <w:r>
        <w:t xml:space="preserve">A validated pilot curriculum resource bank—accessible via Jakarta's Education Cloud—to support schools in diverse settings like Kepulauan Seribu islands or downtown Senayan.</w:t>
      </w:r>
    </w:p>
    <w:p>
      <w:pPr>
        <w:numPr>
          <w:ilvl w:val="0"/>
          <w:numId w:val="1003"/>
        </w:numPr>
        <w:pStyle w:val="Compact"/>
      </w:pPr>
      <w:r>
        <w:t xml:space="preserve">A policy brief for Indonesia Ministry of Education to revise national guidelines on local curriculum adaptation, with Jakarta as the model city.</w:t>
      </w:r>
    </w:p>
    <w:p>
      <w:pPr>
        <w:pStyle w:val="FirstParagraph"/>
      </w:pPr>
      <w:r>
        <w:t xml:space="preserve">The significance extends beyond academia: By professionalizing the Curriculum Developer role, this project addresses UNESCO's call for "context-responsive education" (2021) and directly supports Jakarta's Sustainable Development Goal 4 targets. We anticipate a 30% improvement in teacher confidence in adapting curricula locally (based on preliminary pilot data), while reducing educational inequality across Jakarta’s socioeconomic spectrum.</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c>
          <w:tcPr/>
          <w:p>
            <w:pPr>
              <w:pStyle w:val="Compact"/>
            </w:pPr>
          </w:p>
        </w:tc>
      </w:tr>
      <w:tr>
        <w:tc>
          <w:tcPr/>
          <w:p>
            <w:pPr>
              <w:pStyle w:val="Compact"/>
              <w:jc w:val="left"/>
            </w:pPr>
            <w:r>
              <w:t xml:space="preserve">Month 1-3</w:t>
            </w:r>
          </w:p>
        </w:tc>
        <w:tc>
          <w:tcPr/>
          <w:p>
            <w:pPr>
              <w:pStyle w:val="Compact"/>
              <w:jc w:val="left"/>
            </w:pPr>
            <w:r>
              <w:t xml:space="preserve">School partnerships; stakeholder mapping in Jakarta districts</w:t>
            </w:r>
          </w:p>
        </w:tc>
        <w:tc>
          <w:tcPr/>
          <w:p>
            <w:pPr>
              <w:pStyle w:val="Compact"/>
              <w:jc w:val="left"/>
            </w:pPr>
            <w:r>
              <w:t xml:space="preserve">List of 20 partner schools; demographic profiles of student populations</w:t>
            </w:r>
          </w:p>
        </w:tc>
        <w:tc>
          <w:tcPr/>
          <w:p>
            <w:pPr>
              <w:pStyle w:val="Compact"/>
            </w:pPr>
          </w:p>
        </w:tc>
      </w:tr>
      <w:tr>
        <w:tc>
          <w:tcPr/>
          <w:p>
            <w:pPr>
              <w:pStyle w:val="Compact"/>
              <w:jc w:val="left"/>
            </w:pPr>
            <w:r>
              <w:t xml:space="preserve">Month 4-8</w:t>
            </w:r>
          </w:p>
        </w:tc>
        <w:tc>
          <w:tcPr/>
          <w:p>
            <w:pPr>
              <w:pStyle w:val="Compact"/>
              <w:jc w:val="left"/>
            </w:pPr>
            <w:r>
              <w:t xml:space="preserve">Competency framework development; prototype curriculum drafting</w:t>
            </w:r>
          </w:p>
        </w:tc>
        <w:tc>
          <w:tcPr/>
          <w:p>
            <w:pPr>
              <w:pStyle w:val="Compact"/>
              <w:jc w:val="left"/>
            </w:pPr>
            <w:r>
              <w:t xml:space="preserve">Draft Curriculum Developer Framework (v1.0); sample lesson plans on Jakarta themes</w:t>
            </w:r>
          </w:p>
        </w:tc>
        <w:tc>
          <w:tcPr/>
          <w:p>
            <w:pPr>
              <w:pStyle w:val="Compact"/>
            </w:pPr>
          </w:p>
        </w:tc>
      </w:tr>
      <w:tr>
        <w:tc>
          <w:tcPr/>
          <w:p>
            <w:pPr>
              <w:pStyle w:val="Compact"/>
              <w:jc w:val="left"/>
            </w:pPr>
            <w:r>
              <w:t xml:space="preserve">Month 9-15</w:t>
            </w:r>
          </w:p>
        </w:tc>
        <w:tc>
          <w:tcPr/>
          <w:p>
            <w:pPr>
              <w:pStyle w:val="Compact"/>
              <w:jc w:val="left"/>
            </w:pPr>
            <w:r>
              <w:t xml:space="preserve">Pilot implementation; iterative refinement with teachers</w:t>
            </w:r>
          </w:p>
        </w:tc>
        <w:tc>
          <w:tcPr/>
          <w:p>
            <w:pPr>
              <w:pStyle w:val="Compact"/>
              <w:jc w:val="left"/>
            </w:pPr>
            <w:r>
              <w:t xml:space="preserve">Field-tested curriculum modules; impact assessment report</w:t>
            </w:r>
          </w:p>
        </w:tc>
        <w:tc>
          <w:tcPr/>
          <w:p>
            <w:pPr>
              <w:pStyle w:val="Compact"/>
            </w:pPr>
          </w:p>
        </w:tc>
      </w:tr>
      <w:tr>
        <w:tc>
          <w:tcPr/>
          <w:p>
            <w:pPr>
              <w:pStyle w:val="Compact"/>
              <w:jc w:val="left"/>
            </w:pPr>
            <w:r>
              <w:t xml:space="preserve">Month 16-18</w:t>
            </w:r>
          </w:p>
        </w:tc>
        <w:tc>
          <w:tcPr/>
          <w:p>
            <w:pPr>
              <w:pStyle w:val="Compact"/>
              <w:jc w:val="left"/>
            </w:pPr>
            <w:r>
              <w:t xml:space="preserve">Policy engagement; final framework validation</w:t>
            </w:r>
          </w:p>
        </w:tc>
        <w:tc>
          <w:tcPr>
            <w:gridSpan w:val="2"/>
          </w:tcPr>
          <w:p>
            <w:pPr>
              <w:pStyle w:val="Compact"/>
              <w:jc w:val="left"/>
            </w:pPr>
            <w:r>
              <w:t xml:space="preserve">Jakarta Curriculum Developer Framework (v2.0) + Policy Brief for Dinas Pendidikan Jakarta</w:t>
            </w:r>
          </w:p>
        </w:tc>
      </w:tr>
    </w:tbl>
    <w:bookmarkEnd w:id="26"/>
    <w:bookmarkStart w:id="27" w:name="X6912ea764d784a575ff1fef9ff5b55d98417784"/>
    <w:p>
      <w:pPr>
        <w:pStyle w:val="Heading2"/>
      </w:pPr>
      <w:r>
        <w:t xml:space="preserve">8. Conclusion: A Catalyst for Jakarta's Educational Renaissance</w:t>
      </w:r>
    </w:p>
    <w:p>
      <w:pPr>
        <w:pStyle w:val="FirstParagraph"/>
      </w:pPr>
      <w:r>
        <w:t xml:space="preserve">The proposed research transcends academic inquiry—it is a strategic investment in Jakarta’s future. As Indonesia’s capital accelerates toward becoming a global innovation hub, its education system must mirror this dynamism. By centering the</w:t>
      </w:r>
      <w:r>
        <w:t xml:space="preserve"> </w:t>
      </w:r>
      <w:r>
        <w:rPr>
          <w:iCs/>
          <w:i/>
        </w:rPr>
        <w:t xml:space="preserve">Curriculum Developer</w:t>
      </w:r>
      <w:r>
        <w:t xml:space="preserve"> </w:t>
      </w:r>
      <w:r>
        <w:t xml:space="preserve">within Jakarta's urban reality, this project will establish a replicable model for Indonesia and Southeast Asia. The framework developed will empower educators to weave Jakarta's vibrant tapestry of cultures, languages, and environmental challenges into the curriculum—transforming classrooms from passive learning spaces into incubators of civic resilience. This is not merely about improving tests; it's about cultivating Jakarta’s next generation to thrive as adaptable leaders in an interconnected world. We request partnership with Jakarta Dinas Pendidikan and national education stakeholders to turn this vision into a foundational pillar of Indonesia’s educational renaissance.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Jakarta, Indonesia</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