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d51f24f51744e2c30907ba9968657648915819"/>
    <w:p>
      <w:pPr>
        <w:pStyle w:val="Heading1"/>
      </w:pPr>
      <w:r>
        <w:t xml:space="preserve">Research Proposal: Advancing Curriculum Development for Educational Excellence in Malaysia Kuala Lumpur</w:t>
      </w:r>
    </w:p>
    <w:bookmarkStart w:id="20"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has become increasingly pivotal in shaping educational outcomes across Malaysia, particularly within the dynamic urban landscape of Kuala Lumpur. As the nation strives to align its education system with global standards while preserving cultural identity, this research proposes an evidence-based study focused on optimizing curriculum design for Malaysian schools. The</w:t>
      </w:r>
      <w:r>
        <w:t xml:space="preserve"> </w:t>
      </w:r>
      <w:r>
        <w:rPr>
          <w:bCs/>
          <w:b/>
        </w:rPr>
        <w:t xml:space="preserve">Malaysia Kuala Lumpur</w:t>
      </w:r>
      <w:r>
        <w:t xml:space="preserve"> </w:t>
      </w:r>
      <w:r>
        <w:t xml:space="preserve">context presents unique challenges and opportunities—ranging from multilingual classrooms to rapidly evolving industry demands—that necessitate a specialized approach to curriculum development. This proposal outlines a comprehensive investigation into the competencies, methodologies, and implementation frameworks required for effective</w:t>
      </w:r>
      <w:r>
        <w:t xml:space="preserve"> </w:t>
      </w:r>
      <w:r>
        <w:rPr>
          <w:bCs/>
          <w:b/>
        </w:rPr>
        <w:t xml:space="preserve">Curriculum Developer</w:t>
      </w:r>
      <w:r>
        <w:t xml:space="preserve"> </w:t>
      </w:r>
      <w:r>
        <w:t xml:space="preserve">roles in our capital city's educational ecosystem.</w:t>
      </w:r>
    </w:p>
    <w:bookmarkEnd w:id="20"/>
    <w:bookmarkStart w:id="21" w:name="problem-statement"/>
    <w:p>
      <w:pPr>
        <w:pStyle w:val="Heading2"/>
      </w:pPr>
      <w:r>
        <w:t xml:space="preserve">2. Problem Statement</w:t>
      </w:r>
    </w:p>
    <w:p>
      <w:pPr>
        <w:pStyle w:val="FirstParagraph"/>
      </w:pPr>
      <w:r>
        <w:t xml:space="preserve">Kuala Lumpur’s education sector faces pressing challenges: persistent gaps in STEM proficiency (as noted by the 2023 Ministry of Education report), insufficient integration of digital literacy into core curricula, and a mismatch between graduate skills and industry needs. Current</w:t>
      </w:r>
      <w:r>
        <w:t xml:space="preserve"> </w:t>
      </w:r>
      <w:r>
        <w:rPr>
          <w:bCs/>
          <w:b/>
        </w:rPr>
        <w:t xml:space="preserve">Curriculum Developer</w:t>
      </w:r>
      <w:r>
        <w:t xml:space="preserve"> </w:t>
      </w:r>
      <w:r>
        <w:t xml:space="preserve">practices often rely on outdated frameworks, failing to address Malaysia’s socio-cultural diversity or global competitiveness demands. In KL specifically, urban-rural resource disparities exacerbate these issues—schools in affluent districts access advanced pedagogical tools while those in peripheral areas struggle with basic curriculum support. Without targeted research into localized</w:t>
      </w:r>
      <w:r>
        <w:t xml:space="preserve"> </w:t>
      </w:r>
      <w:r>
        <w:rPr>
          <w:bCs/>
          <w:b/>
        </w:rPr>
        <w:t xml:space="preserve">Curriculum Developer</w:t>
      </w:r>
      <w:r>
        <w:t xml:space="preserve"> </w:t>
      </w:r>
      <w:r>
        <w:t xml:space="preserve">competencies, Malaysia risks stagnating its educational advancement goals outlined in the National Education Blueprint 2021-2030.</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Identify core competencies essential for</w:t>
      </w:r>
      <w:r>
        <w:t xml:space="preserve"> </w:t>
      </w:r>
      <w:r>
        <w:rPr>
          <w:bCs/>
          <w:b/>
        </w:rPr>
        <w:t xml:space="preserve">Curriculum Developer</w:t>
      </w:r>
      <w:r>
        <w:t xml:space="preserve">s operating within</w:t>
      </w:r>
      <w:r>
        <w:t xml:space="preserve"> </w:t>
      </w:r>
      <w:r>
        <w:rPr>
          <w:bCs/>
          <w:b/>
        </w:rPr>
        <w:t xml:space="preserve">Malaysia Kuala Lumpur</w:t>
      </w:r>
      <w:r>
        <w:t xml:space="preserve">'s urban educational context;</w:t>
      </w:r>
      <w:r>
        <w:t xml:space="preserve"> </w:t>
      </w:r>
      <w:r>
        <w:t xml:space="preserve">(b) Evaluate the efficacy of existing curriculum models in addressing KL’s multilingual, multicultural classrooms;</w:t>
      </w:r>
      <w:r>
        <w:t xml:space="preserve"> </w:t>
      </w:r>
      <w:r>
        <w:t xml:space="preserve">(c) Co-design a sustainable curriculum development framework responsive to Malaysia’s 21st-century learning mandates; and</w:t>
      </w:r>
      <w:r>
        <w:t xml:space="preserve"> </w:t>
      </w:r>
      <w:r>
        <w:t xml:space="preserve">(d) Propose policy recommendations for Ministry of Education alignment in</w:t>
      </w:r>
      <w:r>
        <w:t xml:space="preserve"> </w:t>
      </w:r>
      <w:r>
        <w:rPr>
          <w:bCs/>
          <w:b/>
        </w:rPr>
        <w:t xml:space="preserve">Malaysia Kuala Lumpur</w:t>
      </w:r>
      <w:r>
        <w:t xml:space="preserve">.</w:t>
      </w:r>
    </w:p>
    <w:bookmarkEnd w:id="22"/>
    <w:bookmarkStart w:id="23" w:name="X543dcdfdc34b17fd3d1e63329f81fcab5482a17"/>
    <w:p>
      <w:pPr>
        <w:pStyle w:val="Heading2"/>
      </w:pPr>
      <w:r>
        <w:t xml:space="preserve">4. Literature Review: Contextualizing Curriculum Development in KL</w:t>
      </w:r>
    </w:p>
    <w:p>
      <w:pPr>
        <w:pStyle w:val="FirstParagraph"/>
      </w:pPr>
      <w:r>
        <w:t xml:space="preserve">Existing literature highlights global best practices, but few studies address Southeast Asian urban settings. Research by Tan (2021) on Singaporean curriculum adaptation demonstrates the value of localized content integration—yet Malaysia’s linguistic diversity (Malay, Mandarin, Tamil, English) demands more nuanced approaches. A 2022 study in the *Journal of Educational Policy* noted that KL schools with dedicated</w:t>
      </w:r>
      <w:r>
        <w:t xml:space="preserve"> </w:t>
      </w:r>
      <w:r>
        <w:rPr>
          <w:bCs/>
          <w:b/>
        </w:rPr>
        <w:t xml:space="preserve">Curriculum Developer</w:t>
      </w:r>
      <w:r>
        <w:t xml:space="preserve"> </w:t>
      </w:r>
      <w:r>
        <w:t xml:space="preserve">roles showed 34% higher student engagement in critical thinking tasks. However, this success was limited to institutions with structured developer training pathways—a gap prevalent across Malaysia. Crucially, no research has yet mapped the specific cultural and logistical challenges faced by</w:t>
      </w:r>
      <w:r>
        <w:t xml:space="preserve"> </w:t>
      </w:r>
      <w:r>
        <w:rPr>
          <w:bCs/>
          <w:b/>
        </w:rPr>
        <w:t xml:space="preserve">Curriculum Developer</w:t>
      </w:r>
      <w:r>
        <w:t xml:space="preserve">s operating within KL’s densely populated, resource-diverse school network.</w:t>
      </w:r>
    </w:p>
    <w:bookmarkEnd w:id="23"/>
    <w:bookmarkStart w:id="24" w:name="methodology"/>
    <w:p>
      <w:pPr>
        <w:pStyle w:val="Heading2"/>
      </w:pPr>
      <w:r>
        <w:t xml:space="preserve">5. Methodology</w:t>
      </w:r>
    </w:p>
    <w:p>
      <w:pPr>
        <w:pStyle w:val="FirstParagraph"/>
      </w:pPr>
      <w:r>
        <w:t xml:space="preserve">This mixed-methods study will employ:</w:t>
      </w:r>
      <w:r>
        <w:t xml:space="preserve"> </w:t>
      </w:r>
      <w:r>
        <w:rPr>
          <w:bCs/>
          <w:b/>
        </w:rPr>
        <w:t xml:space="preserve">Phase 1 (Qualitative):</w:t>
      </w:r>
      <w:r>
        <w:t xml:space="preserve"> </w:t>
      </w:r>
      <w:r>
        <w:t xml:space="preserve">In-depth interviews with 30+ stakeholders—including Curriculum Developers at KL schools, MOE officials, and industry partners—to identify pain points and success factors.</w:t>
      </w:r>
      <w:r>
        <w:t xml:space="preserve"> </w:t>
      </w:r>
      <w:r>
        <w:rPr>
          <w:bCs/>
          <w:b/>
        </w:rPr>
        <w:t xml:space="preserve">Phase 2 (Quantitative):</w:t>
      </w:r>
      <w:r>
        <w:t xml:space="preserve"> </w:t>
      </w:r>
      <w:r>
        <w:t xml:space="preserve">Surveys across 50 KL schools measuring curriculum implementation effectiveness against national standards.</w:t>
      </w:r>
      <w:r>
        <w:t xml:space="preserve"> </w:t>
      </w:r>
      <w:r>
        <w:rPr>
          <w:bCs/>
          <w:b/>
        </w:rPr>
        <w:t xml:space="preserve">Phase 3 (Co-Design Workshop):</w:t>
      </w:r>
      <w:r>
        <w:t xml:space="preserve"> </w:t>
      </w:r>
      <w:r>
        <w:t xml:space="preserve">Facilitated sessions with teachers, developers, and students to prototype a culturally responsive curriculum toolkit.</w:t>
      </w:r>
      <w:r>
        <w:t xml:space="preserve"> </w:t>
      </w:r>
      <w:r>
        <w:rPr>
          <w:iCs/>
          <w:i/>
        </w:rPr>
        <w:t xml:space="preserve">Data Analysis:</w:t>
      </w:r>
      <w:r>
        <w:t xml:space="preserve"> </w:t>
      </w:r>
      <w:r>
        <w:t xml:space="preserve">Thematic analysis for qualitative data; regression models for quantitative results. Ethical clearance will be obtained from Universiti Malaya’s IRB. All research adheres to the</w:t>
      </w:r>
      <w:r>
        <w:t xml:space="preserve"> </w:t>
      </w:r>
      <w:r>
        <w:rPr>
          <w:bCs/>
          <w:b/>
        </w:rPr>
        <w:t xml:space="preserve">Malaysia</w:t>
      </w:r>
      <w:r>
        <w:t xml:space="preserve"> </w:t>
      </w:r>
      <w:r>
        <w:t xml:space="preserve">Ministry of Education’s data governance protocols, ensuring confidentiality within KL’s sensitive educational environment.</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r>
        <w:t xml:space="preserve"> </w:t>
      </w:r>
      <w:r>
        <w:t xml:space="preserve">(1) A validated competency framework for</w:t>
      </w:r>
      <w:r>
        <w:t xml:space="preserve"> </w:t>
      </w:r>
      <w:r>
        <w:rPr>
          <w:bCs/>
          <w:b/>
        </w:rPr>
        <w:t xml:space="preserve">Curriculum Developer</w:t>
      </w:r>
      <w:r>
        <w:t xml:space="preserve">s in Malaysia, prioritizing cross-cultural communication and digital pedagogy—critical for KL’s classrooms;</w:t>
      </w:r>
      <w:r>
        <w:t xml:space="preserve"> </w:t>
      </w:r>
      <w:r>
        <w:t xml:space="preserve">(2) A scalable curriculum development toolkit incorporating Malay cultural narratives, multilingual learning strategies, and industry-aligned skills modules;</w:t>
      </w:r>
      <w:r>
        <w:t xml:space="preserve"> </w:t>
      </w:r>
      <w:r>
        <w:t xml:space="preserve">(3) Policy briefs advocating for MOE investment in developer training programs targeting</w:t>
      </w:r>
      <w:r>
        <w:t xml:space="preserve"> </w:t>
      </w:r>
      <w:r>
        <w:rPr>
          <w:bCs/>
          <w:b/>
        </w:rPr>
        <w:t xml:space="preserve">Malaysia Kuala Lumpur</w:t>
      </w:r>
      <w:r>
        <w:t xml:space="preserve">'s urban schools.</w:t>
      </w:r>
      <w:r>
        <w:t xml:space="preserve"> </w:t>
      </w:r>
      <w:r>
        <w:t xml:space="preserve">This research directly supports Malaysia’s national goal of producing globally competitive graduates. For KL specifically, it addresses the urgent need to leverage the city’s educational infrastructure as a model for nationwide reform, potentially reducing achievement gaps between urban and rural districts by 25% within five years.</w:t>
      </w:r>
    </w:p>
    <w:bookmarkEnd w:id="25"/>
    <w:bookmarkStart w:id="26" w:name="timeline-and-resource-allocation"/>
    <w:p>
      <w:pPr>
        <w:pStyle w:val="Heading2"/>
      </w:pPr>
      <w:r>
        <w:t xml:space="preserve">7. Timeline and Resource Allocation</w:t>
      </w:r>
    </w:p>
    <w:p>
      <w:pPr>
        <w:pStyle w:val="FirstParagraph"/>
      </w:pPr>
      <w:r>
        <w:rPr>
          <w:bCs/>
          <w:b/>
        </w:rPr>
        <w:t xml:space="preserve">Months 1-3:</w:t>
      </w:r>
      <w:r>
        <w:t xml:space="preserve"> </w:t>
      </w:r>
      <w:r>
        <w:t xml:space="preserve">Literature review &amp; stakeholder mapping (KL-based fieldwork).</w:t>
      </w:r>
      <w:r>
        <w:t xml:space="preserve"> </w:t>
      </w:r>
      <w:r>
        <w:rPr>
          <w:bCs/>
          <w:b/>
        </w:rPr>
        <w:t xml:space="preserve">Months 4-6:</w:t>
      </w:r>
      <w:r>
        <w:t xml:space="preserve"> </w:t>
      </w:r>
      <w:r>
        <w:t xml:space="preserve">Data collection via interviews/surveys across KL districts (Federal Territory, Petaling, Gombak).</w:t>
      </w:r>
      <w:r>
        <w:t xml:space="preserve"> </w:t>
      </w:r>
      <w:r>
        <w:rPr>
          <w:bCs/>
          <w:b/>
        </w:rPr>
        <w:t xml:space="preserve">Months 7-9:</w:t>
      </w:r>
      <w:r>
        <w:t xml:space="preserve"> </w:t>
      </w:r>
      <w:r>
        <w:t xml:space="preserve">Co-design workshops with MOE partners at the National Education Research Center (KL).</w:t>
      </w:r>
      <w:r>
        <w:t xml:space="preserve"> </w:t>
      </w:r>
      <w:r>
        <w:rPr>
          <w:bCs/>
          <w:b/>
        </w:rPr>
        <w:t xml:space="preserve">Months 10-12:</w:t>
      </w:r>
      <w:r>
        <w:t xml:space="preserve"> </w:t>
      </w:r>
      <w:r>
        <w:t xml:space="preserve">Analysis, toolkit finalization, and policy dissemination.</w:t>
      </w:r>
      <w:r>
        <w:t xml:space="preserve"> </w:t>
      </w:r>
      <w:r>
        <w:t xml:space="preserve">Budget: RM 285,000 (funded via MOE Grant/University R&amp;D Fund), covering researcher salaries, travel for KL school visits, workshop logistics, and digital tool development.</w:t>
      </w:r>
    </w:p>
    <w:bookmarkEnd w:id="26"/>
    <w:bookmarkStart w:id="27" w:name="conclusion"/>
    <w:p>
      <w:pPr>
        <w:pStyle w:val="Heading2"/>
      </w:pPr>
      <w:r>
        <w:t xml:space="preserve">8. Conclusion</w:t>
      </w:r>
    </w:p>
    <w:p>
      <w:pPr>
        <w:pStyle w:val="FirstParagraph"/>
      </w:pPr>
      <w:r>
        <w:t xml:space="preserve">The position of a</w:t>
      </w:r>
      <w:r>
        <w:t xml:space="preserve"> </w:t>
      </w:r>
      <w:r>
        <w:rPr>
          <w:bCs/>
          <w:b/>
        </w:rPr>
        <w:t xml:space="preserve">Curriculum Developer</w:t>
      </w:r>
      <w:r>
        <w:t xml:space="preserve"> </w:t>
      </w:r>
      <w:r>
        <w:t xml:space="preserve">is not merely administrative but strategic to Malaysia’s educational future. In the heart of</w:t>
      </w:r>
      <w:r>
        <w:t xml:space="preserve"> </w:t>
      </w:r>
      <w:r>
        <w:rPr>
          <w:bCs/>
          <w:b/>
        </w:rPr>
        <w:t xml:space="preserve">Malaysia Kuala Lumpur</w:t>
      </w:r>
      <w:r>
        <w:t xml:space="preserve">, where diversity meets innovation, this research will establish a gold standard for curriculum development that respects local identity while embracing global best practices. By centering the voices of KL’s educators and students, we move beyond generic frameworks to create systems that empower every learner. The outcomes will serve as a blueprint for other Malaysian cities, but its immediate impact will be felt in KL classrooms—where teachers can finally access curriculum resources designed by experts who understand our unique challenges. This is not just about revising syllabi; it is about building an education system worthy of Malaysia’s aspirations, starting right here in Kuala Lumpur.</w:t>
      </w:r>
    </w:p>
    <w:bookmarkEnd w:id="27"/>
    <w:bookmarkStart w:id="28" w:name="references-selected"/>
    <w:p>
      <w:pPr>
        <w:pStyle w:val="Heading2"/>
      </w:pPr>
      <w:r>
        <w:t xml:space="preserve">9. References (Selected)</w:t>
      </w:r>
    </w:p>
    <w:p>
      <w:pPr>
        <w:numPr>
          <w:ilvl w:val="0"/>
          <w:numId w:val="1001"/>
        </w:numPr>
        <w:pStyle w:val="Compact"/>
      </w:pPr>
      <w:r>
        <w:t xml:space="preserve">Ministry of Education Malaysia. (2023). *Education Statistics Report: Kuala Lumpur*. Putrajaya.</w:t>
      </w:r>
    </w:p>
    <w:p>
      <w:pPr>
        <w:numPr>
          <w:ilvl w:val="0"/>
          <w:numId w:val="1001"/>
        </w:numPr>
        <w:pStyle w:val="Compact"/>
      </w:pPr>
      <w:r>
        <w:t xml:space="preserve">Tan, L.L. (2021). "Curriculum Adaptation in Urban Southeast Asia." *Asian Journal of Curriculum Studies*, 7(2), 45-67.</w:t>
      </w:r>
    </w:p>
    <w:p>
      <w:pPr>
        <w:numPr>
          <w:ilvl w:val="0"/>
          <w:numId w:val="1001"/>
        </w:numPr>
        <w:pStyle w:val="Compact"/>
      </w:pPr>
      <w:r>
        <w:t xml:space="preserve">OECD. (2022). *PISA Results: Malaysia’s Educational Landscape*. Paris: OECD Publishing.</w:t>
      </w:r>
    </w:p>
    <w:p>
      <w:pPr>
        <w:pStyle w:val="FirstParagraph"/>
      </w:pPr>
      <w:r>
        <w:rPr>
          <w:iCs/>
          <w:i/>
        </w:rPr>
        <w:t xml:space="preserve">This research proposal is submitted to the Ministry of Education Malaysia, Kuala Lumpur, for consideration as a strategic initiative under the National Education Blueprint 2021-2030. All findings will be shared with schools across</w:t>
      </w:r>
      <w:r>
        <w:rPr>
          <w:iCs/>
          <w:i/>
        </w:rPr>
        <w:t xml:space="preserve"> </w:t>
      </w:r>
      <w:r>
        <w:rPr>
          <w:bCs/>
          <w:b/>
          <w:iCs/>
          <w:i/>
        </w:rPr>
        <w:t xml:space="preserve">Malaysia Kuala Lumpur</w:t>
      </w:r>
      <w:r>
        <w:rPr>
          <w:iCs/>
          <w:i/>
        </w:rPr>
        <w:t xml:space="preserve"> </w:t>
      </w:r>
      <w:r>
        <w:rPr>
          <w:iCs/>
          <w:i/>
        </w:rPr>
        <w:t xml:space="preserve">through MOE’s Professional Development Portal.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Educational Excellence in Malaysia Kuala Lumpur</dc:title>
  <dc:creator/>
  <dc:language>en</dc:language>
  <cp:keywords/>
  <dcterms:created xsi:type="dcterms:W3CDTF">2026-05-02T16:07:16Z</dcterms:created>
  <dcterms:modified xsi:type="dcterms:W3CDTF">2026-05-02T16:07:16Z</dcterms:modified>
</cp:coreProperties>
</file>

<file path=docProps/custom.xml><?xml version="1.0" encoding="utf-8"?>
<Properties xmlns="http://schemas.openxmlformats.org/officeDocument/2006/custom-properties" xmlns:vt="http://schemas.openxmlformats.org/officeDocument/2006/docPropsVTypes"/>
</file>