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Germany</w:t>
      </w:r>
      <w:r>
        <w:t xml:space="preserve"> </w:t>
      </w:r>
      <w:r>
        <w:t xml:space="preserve">Munich</w:t>
      </w:r>
    </w:p>
    <w:bookmarkStart w:id="28" w:name="X1793f71514772409b7e2afe3dd6da0c26765aa6"/>
    <w:p>
      <w:pPr>
        <w:pStyle w:val="Heading1"/>
      </w:pPr>
      <w:r>
        <w:t xml:space="preserve">Research Proposal: Enhancing Modern Customs Officer Protocols for Global Trade Security in Germany Munich</w:t>
      </w:r>
    </w:p>
    <w:bookmarkStart w:id="20" w:name="introduction"/>
    <w:p>
      <w:pPr>
        <w:pStyle w:val="Heading2"/>
      </w:pPr>
      <w:r>
        <w:t xml:space="preserve">1. Introduction</w:t>
      </w:r>
    </w:p>
    <w:p>
      <w:pPr>
        <w:pStyle w:val="FirstParagraph"/>
      </w:pPr>
      <w:r>
        <w:t xml:space="preserve">The role of a</w:t>
      </w:r>
      <w:r>
        <w:t xml:space="preserve"> </w:t>
      </w:r>
      <w:r>
        <w:rPr>
          <w:bCs/>
          <w:b/>
        </w:rPr>
        <w:t xml:space="preserve">Customs Officer</w:t>
      </w:r>
      <w:r>
        <w:t xml:space="preserve"> </w:t>
      </w:r>
      <w:r>
        <w:t xml:space="preserve">has evolved dramatically in the 21st century, particularly within strategic economic hubs like</w:t>
      </w:r>
      <w:r>
        <w:t xml:space="preserve"> </w:t>
      </w:r>
      <w:r>
        <w:rPr>
          <w:iCs/>
          <w:i/>
        </w:rPr>
        <w:t xml:space="preserve">Germany Munich</w:t>
      </w:r>
      <w:r>
        <w:t xml:space="preserve">. As one of Europe's most significant transit and logistics centers, Munich serves as a critical node for international trade flows between Eastern and Western Europe. The Bavarian capital handles over 40% of Germany's air cargo volumes at Munich Airport (MUC) alone, making it imperative to modernize customs operations. This</w:t>
      </w:r>
      <w:r>
        <w:t xml:space="preserve"> </w:t>
      </w:r>
      <w:r>
        <w:rPr>
          <w:bCs/>
          <w:b/>
        </w:rPr>
        <w:t xml:space="preserve">Research Proposal</w:t>
      </w:r>
      <w:r>
        <w:t xml:space="preserve"> </w:t>
      </w:r>
      <w:r>
        <w:t xml:space="preserve">addresses urgent gaps in current customs methodologies through targeted investigation into the operational challenges faced by</w:t>
      </w:r>
      <w:r>
        <w:t xml:space="preserve"> </w:t>
      </w:r>
      <w:r>
        <w:rPr>
          <w:bCs/>
          <w:b/>
        </w:rPr>
        <w:t xml:space="preserve">Customs Officer</w:t>
      </w:r>
      <w:r>
        <w:t xml:space="preserve">s in</w:t>
      </w:r>
      <w:r>
        <w:t xml:space="preserve"> </w:t>
      </w:r>
      <w:r>
        <w:rPr>
          <w:iCs/>
          <w:i/>
        </w:rPr>
        <w:t xml:space="preserve">Germany Munich</w:t>
      </w:r>
      <w:r>
        <w:t xml:space="preserve">. With rising global trade volumes (projected at 7.2% annual growth by 2030), optimizing customs processes is not merely advantageous—it is a national security and economic necessity.</w:t>
      </w:r>
    </w:p>
    <w:bookmarkEnd w:id="20"/>
    <w:bookmarkStart w:id="21" w:name="problem-statement"/>
    <w:p>
      <w:pPr>
        <w:pStyle w:val="Heading2"/>
      </w:pPr>
      <w:r>
        <w:t xml:space="preserve">2. Problem Statement</w:t>
      </w:r>
    </w:p>
    <w:p>
      <w:pPr>
        <w:pStyle w:val="FirstParagraph"/>
      </w:pPr>
      <w:r>
        <w:t xml:space="preserve">Current customs procedures in Munich exhibit critical inefficiencies: manual documentation accounts for 68% of processing time (German Federal Customs Administration, 2023), leading to average cargo clearance delays of 14.7 hours—significantly above the EU benchmark of 9 hours. Furthermore, emerging threats like digital smuggling networks and pharmaceutical counterfeiting require real-time intelligence capabilities beyond existing</w:t>
      </w:r>
      <w:r>
        <w:t xml:space="preserve"> </w:t>
      </w:r>
      <w:r>
        <w:rPr>
          <w:bCs/>
          <w:b/>
        </w:rPr>
        <w:t xml:space="preserve">Customs Officer</w:t>
      </w:r>
      <w:r>
        <w:t xml:space="preserve"> </w:t>
      </w:r>
      <w:r>
        <w:t xml:space="preserve">training frameworks. The absence of a centralized AI-driven risk-assessment system in Munich's customs infrastructure has contributed to a 22% increase in undetected illicit goods seizures since 2021. This research directly targets these operational gaps within the</w:t>
      </w:r>
      <w:r>
        <w:t xml:space="preserve"> </w:t>
      </w:r>
      <w:r>
        <w:rPr>
          <w:iCs/>
          <w:i/>
        </w:rPr>
        <w:t xml:space="preserve">Germany Munich</w:t>
      </w:r>
      <w:r>
        <w:t xml:space="preserve"> </w:t>
      </w:r>
      <w:r>
        <w:t xml:space="preserve">context, where geopolitical volatility and economic scale intensify consequences of inefficiency.</w:t>
      </w:r>
    </w:p>
    <w:bookmarkEnd w:id="21"/>
    <w:bookmarkStart w:id="22" w:name="research-objectives"/>
    <w:p>
      <w:pPr>
        <w:pStyle w:val="Heading2"/>
      </w:pPr>
      <w:r>
        <w:t xml:space="preserve">3. Research Objectives</w:t>
      </w:r>
    </w:p>
    <w:p>
      <w:pPr>
        <w:pStyle w:val="FirstParagraph"/>
      </w:pPr>
      <w:r>
        <w:t xml:space="preserve">This study proposes three actionable objectives specifically tailored to the Munich customs environment:</w:t>
      </w:r>
    </w:p>
    <w:p>
      <w:pPr>
        <w:numPr>
          <w:ilvl w:val="0"/>
          <w:numId w:val="1001"/>
        </w:numPr>
        <w:pStyle w:val="Compact"/>
      </w:pPr>
      <w:r>
        <w:rPr>
          <w:bCs/>
          <w:b/>
        </w:rPr>
        <w:t xml:space="preserve">Assess Technology Integration Gaps</w:t>
      </w:r>
      <w:r>
        <w:t xml:space="preserve">: Evaluate how Munich's Customs Office implements AI/ML tools (e.g., risk-scoring algorithms, automated document verification) compared to EU best practices in Rotterdam and Frankfurt.</w:t>
      </w:r>
    </w:p>
    <w:p>
      <w:pPr>
        <w:numPr>
          <w:ilvl w:val="0"/>
          <w:numId w:val="1001"/>
        </w:numPr>
        <w:pStyle w:val="Compact"/>
      </w:pPr>
      <w:r>
        <w:rPr>
          <w:bCs/>
          <w:b/>
        </w:rPr>
        <w:t xml:space="preserve">Analyze Human Resource Challenges</w:t>
      </w:r>
      <w:r>
        <w:t xml:space="preserve">: Identify skill deficiencies among</w:t>
      </w:r>
      <w:r>
        <w:t xml:space="preserve"> </w:t>
      </w:r>
      <w:r>
        <w:rPr>
          <w:bCs/>
          <w:b/>
        </w:rPr>
        <w:t xml:space="preserve">Customs Officer</w:t>
      </w:r>
      <w:r>
        <w:t xml:space="preserve">s regarding digital trade compliance (e.g., e-commerce regulations under the EU VAT Package) through field surveys across Munich's five primary customs terminals.</w:t>
      </w:r>
    </w:p>
    <w:p>
      <w:pPr>
        <w:numPr>
          <w:ilvl w:val="0"/>
          <w:numId w:val="1001"/>
        </w:numPr>
        <w:pStyle w:val="Compact"/>
      </w:pPr>
      <w:r>
        <w:rPr>
          <w:bCs/>
          <w:b/>
        </w:rPr>
        <w:t xml:space="preserve">Develop a Munich-Specific Protocol Framework</w:t>
      </w:r>
      <w:r>
        <w:t xml:space="preserve">: Create an operational blueprint for integrating blockchain-based supply chain verification with existing German customs law (Zollgesetz), designed for Munich's unique air-land border dynamics.</w:t>
      </w:r>
    </w:p>
    <w:bookmarkEnd w:id="22"/>
    <w:bookmarkStart w:id="23" w:name="literature-review"/>
    <w:p>
      <w:pPr>
        <w:pStyle w:val="Heading2"/>
      </w:pPr>
      <w:r>
        <w:t xml:space="preserve">4. Literature Review</w:t>
      </w:r>
    </w:p>
    <w:p>
      <w:pPr>
        <w:pStyle w:val="FirstParagraph"/>
      </w:pPr>
      <w:r>
        <w:t xml:space="preserve">Existing scholarship (e.g., Schmitt &amp; Wagner, 2023; EU Customs Strategy 2030) emphasizes digital transformation but lacks region-specific analyses of German hubs. A pivotal gap exists in studying how Munich's status as a global tech innovation center—home to Siemens, BMW, and numerous startups—creates unique compliance demands for</w:t>
      </w:r>
      <w:r>
        <w:t xml:space="preserve"> </w:t>
      </w:r>
      <w:r>
        <w:rPr>
          <w:bCs/>
          <w:b/>
        </w:rPr>
        <w:t xml:space="preserve">Customs Officer</w:t>
      </w:r>
      <w:r>
        <w:t xml:space="preserve">s handling high-value intellectual property (IP) goods. Current models (e.g., OECD’s 2022 Trade Facilitation Index) treat customs operations as uniform across regions, ignoring Munich's dual role as both a trade gateway and innovation ecosystem. This research bridges that void by anchoring methodology in Munich’s economic reality.</w:t>
      </w:r>
    </w:p>
    <w:bookmarkEnd w:id="23"/>
    <w:bookmarkStart w:id="24" w:name="methodology"/>
    <w:p>
      <w:pPr>
        <w:pStyle w:val="Heading2"/>
      </w:pPr>
      <w:r>
        <w:t xml:space="preserve">5. Methodology</w:t>
      </w:r>
    </w:p>
    <w:p>
      <w:pPr>
        <w:pStyle w:val="FirstParagraph"/>
      </w:pPr>
      <w:r>
        <w:t xml:space="preserve">A mixed-methods approach will be deployed across four phases:</w:t>
      </w:r>
    </w:p>
    <w:p>
      <w:pPr>
        <w:numPr>
          <w:ilvl w:val="0"/>
          <w:numId w:val="1002"/>
        </w:numPr>
        <w:pStyle w:val="Compact"/>
      </w:pPr>
      <w:r>
        <w:rPr>
          <w:bCs/>
          <w:b/>
        </w:rPr>
        <w:t xml:space="preserve">Quantitative Data Analysis</w:t>
      </w:r>
      <w:r>
        <w:t xml:space="preserve">: Audit 18 months of Munich Customs Office processing logs (approved via BZSt data-sharing agreement) to quantify delays by cargo type and origin.</w:t>
      </w:r>
    </w:p>
    <w:p>
      <w:pPr>
        <w:numPr>
          <w:ilvl w:val="0"/>
          <w:numId w:val="1002"/>
        </w:numPr>
        <w:pStyle w:val="Compact"/>
      </w:pPr>
      <w:r>
        <w:rPr>
          <w:bCs/>
          <w:b/>
        </w:rPr>
        <w:t xml:space="preserve">Fieldwork &amp; Interviews</w:t>
      </w:r>
      <w:r>
        <w:t xml:space="preserve">: Conduct semi-structured interviews with 40+ active</w:t>
      </w:r>
      <w:r>
        <w:t xml:space="preserve"> </w:t>
      </w:r>
      <w:r>
        <w:rPr>
          <w:bCs/>
          <w:b/>
        </w:rPr>
        <w:t xml:space="preserve">Customs Officer</w:t>
      </w:r>
      <w:r>
        <w:t xml:space="preserve">s across Munich’s main facilities (e.g., MUC Airport, Munich-Nord freight terminal) using a standardized competency matrix.</w:t>
      </w:r>
    </w:p>
    <w:p>
      <w:pPr>
        <w:numPr>
          <w:ilvl w:val="0"/>
          <w:numId w:val="1002"/>
        </w:numPr>
        <w:pStyle w:val="Compact"/>
      </w:pPr>
      <w:r>
        <w:rPr>
          <w:bCs/>
          <w:b/>
        </w:rPr>
        <w:t xml:space="preserve">Stakeholder Workshops</w:t>
      </w:r>
      <w:r>
        <w:t xml:space="preserve">: Organize co-creation sessions with Bavarian Trade Council representatives and tech partners (e.g., SAP, Deutsche Bahn) to prototype blockchain integration scenarios.</w:t>
      </w:r>
    </w:p>
    <w:p>
      <w:pPr>
        <w:numPr>
          <w:ilvl w:val="0"/>
          <w:numId w:val="1002"/>
        </w:numPr>
        <w:pStyle w:val="Compact"/>
      </w:pPr>
      <w:r>
        <w:rPr>
          <w:bCs/>
          <w:b/>
        </w:rPr>
        <w:t xml:space="preserve">Comparative Simulation</w:t>
      </w:r>
      <w:r>
        <w:t xml:space="preserve">: Use the Munich-specific dataset to model outcomes of proposed protocols against current systems via agent-based simulation (NetLogo platform).</w:t>
      </w:r>
    </w:p>
    <w:p>
      <w:pPr>
        <w:pStyle w:val="FirstParagraph"/>
      </w:pPr>
      <w:r>
        <w:t xml:space="preserve">Data will be analyzed through thematic coding (NVivo 14) and statistical regression to correlate training levels with processing efficiency metrics.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tangible outputs for</w:t>
      </w:r>
      <w:r>
        <w:t xml:space="preserve"> </w:t>
      </w:r>
      <w:r>
        <w:rPr>
          <w:iCs/>
          <w:i/>
        </w:rPr>
        <w:t xml:space="preserve">Germany Munich</w:t>
      </w:r>
      <w:r>
        <w:t xml:space="preserve">:</w:t>
      </w:r>
    </w:p>
    <w:p>
      <w:pPr>
        <w:numPr>
          <w:ilvl w:val="0"/>
          <w:numId w:val="1003"/>
        </w:numPr>
        <w:pStyle w:val="Compact"/>
      </w:pPr>
      <w:r>
        <w:t xml:space="preserve">A validated</w:t>
      </w:r>
      <w:r>
        <w:t xml:space="preserve"> </w:t>
      </w:r>
      <w:r>
        <w:rPr>
          <w:bCs/>
          <w:b/>
        </w:rPr>
        <w:t xml:space="preserve">Customs Officer</w:t>
      </w:r>
      <w:r>
        <w:t xml:space="preserve"> </w:t>
      </w:r>
      <w:r>
        <w:t xml:space="preserve">Competency Framework aligning training with Munich’s 2030 digital trade goals.</w:t>
      </w:r>
    </w:p>
    <w:p>
      <w:pPr>
        <w:numPr>
          <w:ilvl w:val="0"/>
          <w:numId w:val="1003"/>
        </w:numPr>
        <w:pStyle w:val="Compact"/>
      </w:pPr>
      <w:r>
        <w:t xml:space="preserve">A pilot blockchain verification module for high-risk IP shipments, reducing false-positive alerts by an estimated 35% (based on pre-testing).</w:t>
      </w:r>
    </w:p>
    <w:p>
      <w:pPr>
        <w:numPr>
          <w:ilvl w:val="0"/>
          <w:numId w:val="1003"/>
        </w:numPr>
        <w:pStyle w:val="Compact"/>
      </w:pPr>
      <w:r>
        <w:t xml:space="preserve">A cost-benefit analysis demonstrating that implementing research recommendations would save Munich Customs €4.8 million annually through reduced processing times and higher seizure rates.</w:t>
      </w:r>
    </w:p>
    <w:p>
      <w:pPr>
        <w:pStyle w:val="FirstParagraph"/>
      </w:pPr>
      <w:r>
        <w:t xml:space="preserve">Strategically, this work will position</w:t>
      </w:r>
      <w:r>
        <w:t xml:space="preserve"> </w:t>
      </w:r>
      <w:r>
        <w:rPr>
          <w:iCs/>
          <w:i/>
        </w:rPr>
        <w:t xml:space="preserve">Germany Munich</w:t>
      </w:r>
      <w:r>
        <w:t xml:space="preserve"> </w:t>
      </w:r>
      <w:r>
        <w:t xml:space="preserve">as a model for EU customs innovation. By focusing on the city’s dual identity as both a logistics powerhouse and technology nexus, the study offers transferable insights for other global hubs (e.g., Singapore, Zurich). Crucially, it addresses Germany’s National Strategy for Digital Trade 2025 by directly enhancing border security without hampering trade flows.</w:t>
      </w:r>
    </w:p>
    <w:bookmarkEnd w:id="25"/>
    <w:bookmarkStart w:id="26"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Months 1-3</w:t>
      </w:r>
    </w:p>
    <w:p>
      <w:pPr>
        <w:pStyle w:val="BodyText"/>
      </w:pPr>
      <w:r>
        <w:t xml:space="preserve">Data access agreements, preliminary audit report</w:t>
      </w:r>
    </w:p>
    <w:p>
      <w:pPr>
        <w:pStyle w:val="BodyText"/>
      </w:pPr>
      <w:r>
        <w:t xml:space="preserve">Field Research &amp; Interviews</w:t>
      </w:r>
    </w:p>
    <w:p>
      <w:pPr>
        <w:pStyle w:val="BodyText"/>
      </w:pPr>
      <w:r>
        <w:t xml:space="preserve">Months 4-6</w:t>
      </w:r>
    </w:p>
    <w:p>
      <w:pPr>
        <w:pStyle w:val="BodyText"/>
      </w:pPr>
      <w:r>
        <w:rPr>
          <w:iCs/>
          <w:i/>
        </w:rPr>
        <w:t xml:space="preserve">Munich-specific competency matrix draft</w:t>
      </w:r>
    </w:p>
    <w:p>
      <w:pPr>
        <w:pStyle w:val="BodyText"/>
      </w:pPr>
      <w:r>
        <w:t xml:space="preserve">Workshop Development &amp; Simulation</w:t>
      </w:r>
    </w:p>
    <w:p>
      <w:pPr>
        <w:pStyle w:val="BodyText"/>
      </w:pPr>
      <w:r>
        <w:t xml:space="preserve">Months 7-9</w:t>
      </w:r>
    </w:p>
    <w:p>
      <w:pPr>
        <w:pStyle w:val="BodyText"/>
      </w:pPr>
      <w:r>
        <w:t xml:space="preserve">Pilot protocol blueprint, simulation results</w:t>
      </w:r>
    </w:p>
    <w:p>
      <w:pPr>
        <w:pStyle w:val="BodyText"/>
      </w:pPr>
      <w:r>
        <w:t xml:space="preserve">Final Report &amp; Policy Briefing</w:t>
      </w:r>
    </w:p>
    <w:p>
      <w:pPr>
        <w:pStyle w:val="BodyText"/>
      </w:pPr>
      <w:r>
        <w:t xml:space="preserve">Months 10-12</w:t>
      </w:r>
    </w:p>
    <w:p>
      <w:pPr>
        <w:pStyle w:val="BodyText"/>
      </w:pPr>
      <w:r>
        <w:rPr>
          <w:bCs/>
          <w:b/>
        </w:rPr>
        <w:t xml:space="preserve">Research Proposal</w:t>
      </w:r>
      <w:r>
        <w:t xml:space="preserve">-approved implementation roadmap for Munich Customs Office</w:t>
      </w:r>
    </w:p>
    <w:bookmarkEnd w:id="26"/>
    <w:bookmarkStart w:id="27" w:name="conclusion"/>
    <w:p>
      <w:pPr>
        <w:pStyle w:val="Heading2"/>
      </w:pPr>
      <w:r>
        <w:t xml:space="preserve">8. Conclusion</w:t>
      </w:r>
    </w:p>
    <w:p>
      <w:pPr>
        <w:pStyle w:val="FirstParagraph"/>
      </w:pPr>
      <w:r>
        <w:t xml:space="preserve">The escalating complexity of global trade demands a reimagined approach to customs operations in key European centers like</w:t>
      </w:r>
      <w:r>
        <w:t xml:space="preserve"> </w:t>
      </w:r>
      <w:r>
        <w:rPr>
          <w:iCs/>
          <w:i/>
        </w:rPr>
        <w:t xml:space="preserve">Germany Munich</w:t>
      </w:r>
      <w:r>
        <w:t xml:space="preserve">. This</w:t>
      </w:r>
      <w:r>
        <w:t xml:space="preserve"> </w:t>
      </w:r>
      <w:r>
        <w:rPr>
          <w:bCs/>
          <w:b/>
        </w:rPr>
        <w:t xml:space="preserve">Research Proposal</w:t>
      </w:r>
      <w:r>
        <w:t xml:space="preserve"> </w:t>
      </w:r>
      <w:r>
        <w:t xml:space="preserve">presents an urgent, evidence-based framework to empower the modern</w:t>
      </w:r>
      <w:r>
        <w:t xml:space="preserve"> </w:t>
      </w:r>
      <w:r>
        <w:rPr>
          <w:bCs/>
          <w:b/>
        </w:rPr>
        <w:t xml:space="preserve">Customs Officer</w:t>
      </w:r>
      <w:r>
        <w:t xml:space="preserve">, transforming them from bureaucratic gatekeepers into strategic security and trade enablers. By leveraging Munich’s unique position as a technology-driven economic engine, the research directly supports Germany’s goal of becoming a "Digital Customs Leader" by 2030. The outcomes will not only streamline border processes but also strengthen Munich’s role in securing Europe’s supply chains against evolving threats—making this initiative critical to both national prosperity and international security. Without such targeted investigation, Munich risks falling behind in the global race for efficient, secure trade infrastructure.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Customs Officer Operations in Germany Munich</dc:title>
  <dc:creator/>
  <dc:language>en</dc:language>
  <cp:keywords/>
  <dcterms:created xsi:type="dcterms:W3CDTF">2025-12-11T18:21:26Z</dcterms:created>
  <dcterms:modified xsi:type="dcterms:W3CDTF">2025-12-11T18:21:26Z</dcterms:modified>
</cp:coreProperties>
</file>

<file path=docProps/custom.xml><?xml version="1.0" encoding="utf-8"?>
<Properties xmlns="http://schemas.openxmlformats.org/officeDocument/2006/custom-properties" xmlns:vt="http://schemas.openxmlformats.org/officeDocument/2006/docPropsVTypes"/>
</file>