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Efficiency</w:t>
      </w:r>
      <w:r>
        <w:t xml:space="preserve"> </w:t>
      </w:r>
      <w:r>
        <w:t xml:space="preserve">and</w:t>
      </w:r>
      <w:r>
        <w:t xml:space="preserve"> </w:t>
      </w:r>
      <w:r>
        <w:t xml:space="preserve">Integrity</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Iran</w:t>
      </w:r>
      <w:r>
        <w:t xml:space="preserve"> </w:t>
      </w:r>
      <w:r>
        <w:t xml:space="preserve">Tehran</w:t>
      </w:r>
    </w:p>
    <w:bookmarkStart w:id="28" w:name="X6e9e89a1243b5ca4f90b20882b7a9c744ae57ee"/>
    <w:p>
      <w:pPr>
        <w:pStyle w:val="Heading1"/>
      </w:pPr>
      <w:r>
        <w:t xml:space="preserve">Research Proposal: Optimizing Operational Effectiveness and Ethical Conduct of Customs Officers at Key Entry Points in Iran Tehran</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Customs Officer</w:t>
      </w:r>
      <w:r>
        <w:t xml:space="preserve"> </w:t>
      </w:r>
      <w:r>
        <w:t xml:space="preserve">within Iran's national economic infrastructure is paramount, particularly in Tehran—the political, economic, and logistical heart of the country. As the primary gateway for over 70% of Iran's international trade flows through its major ports and airports (including Imam Khomeini International Airport), Tehran serves as a critical node in global supply chains. However, the operational challenges faced by</w:t>
      </w:r>
      <w:r>
        <w:t xml:space="preserve"> </w:t>
      </w:r>
      <w:r>
        <w:rPr>
          <w:bCs/>
          <w:b/>
        </w:rPr>
        <w:t xml:space="preserve">Customs Officer</w:t>
      </w:r>
      <w:r>
        <w:t xml:space="preserve">s here are intensifying due to complex sanctions regimes, evolving smuggling tactics, bureaucratic inefficiencies, and rising cargo volumes. This</w:t>
      </w:r>
      <w:r>
        <w:t xml:space="preserve"> </w:t>
      </w:r>
      <w:r>
        <w:rPr>
          <w:bCs/>
          <w:b/>
        </w:rPr>
        <w:t xml:space="preserve">Research Proposal</w:t>
      </w:r>
      <w:r>
        <w:t xml:space="preserve"> </w:t>
      </w:r>
      <w:r>
        <w:t xml:space="preserve">addresses the urgent need to modernize customs operations within Tehran through evidence-based strategies focused on personnel development, technological integration, and ethical governance. The study will be conducted exclusively within the administrative boundaries of Iran Tehran to ensure contextual relevance and actionable outcomes for local stakeholders.</w:t>
      </w:r>
    </w:p>
    <w:bookmarkEnd w:id="20"/>
    <w:bookmarkStart w:id="21" w:name="problem-statement"/>
    <w:p>
      <w:pPr>
        <w:pStyle w:val="Heading2"/>
      </w:pPr>
      <w:r>
        <w:t xml:space="preserve">2. Problem Statement</w:t>
      </w:r>
    </w:p>
    <w:p>
      <w:pPr>
        <w:pStyle w:val="FirstParagraph"/>
      </w:pPr>
      <w:r>
        <w:t xml:space="preserve">Current data from the Iranian Customs Administration (ICA) reveals significant operational bottlenecks at Tehran's customs facilities. Average clearance times exceed 72 hours—well above the global standard of 12–48 hours—directly impacting importers, exporters, and Iran's competitiveness. Crucially, these delays are exacerbated by insufficient training for</w:t>
      </w:r>
      <w:r>
        <w:t xml:space="preserve"> </w:t>
      </w:r>
      <w:r>
        <w:rPr>
          <w:bCs/>
          <w:b/>
        </w:rPr>
        <w:t xml:space="preserve">Customs Officer</w:t>
      </w:r>
      <w:r>
        <w:t xml:space="preserve">s on emerging risk-assessment tools and anti-smuggling protocols. Furthermore, a recent internal ICA survey (2023) indicated that 68% of</w:t>
      </w:r>
      <w:r>
        <w:t xml:space="preserve"> </w:t>
      </w:r>
      <w:r>
        <w:rPr>
          <w:bCs/>
          <w:b/>
        </w:rPr>
        <w:t xml:space="preserve">Customs Officer</w:t>
      </w:r>
      <w:r>
        <w:t xml:space="preserve">s in Tehran cited "lack of digital infrastructure" as a primary barrier to efficient processing, while 54% reported inadequate guidance on handling high-value goods subject to sanctions. These challenges not only impede economic activity but also create vulnerabilities for corruption and revenue leakage at the very epicenter of Iran's trade system—</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core objectives within the Tehran context:</w:t>
      </w:r>
    </w:p>
    <w:p>
      <w:pPr>
        <w:numPr>
          <w:ilvl w:val="0"/>
          <w:numId w:val="1001"/>
        </w:numPr>
        <w:pStyle w:val="Compact"/>
      </w:pPr>
      <w:r>
        <w:rPr>
          <w:iCs/>
          <w:i/>
        </w:rPr>
        <w:t xml:space="preserve">To evaluate the current training, workload distribution, and technological exposure of Customs Officers across major Tehran customs zones (including Imam Khomeini Airport, Chitgar Port, and Shahid Rajaee Free Trade Zone).</w:t>
      </w:r>
    </w:p>
    <w:p>
      <w:pPr>
        <w:numPr>
          <w:ilvl w:val="0"/>
          <w:numId w:val="1001"/>
        </w:numPr>
        <w:pStyle w:val="Compact"/>
      </w:pPr>
      <w:r>
        <w:rPr>
          <w:iCs/>
          <w:i/>
        </w:rPr>
        <w:t xml:space="preserve">To identify systemic inefficiencies in cargo clearance processes unique to Tehran's operational environment</w:t>
      </w:r>
      <w:r>
        <w:t xml:space="preserve"> </w:t>
      </w:r>
      <w:r>
        <w:t xml:space="preserve">(e.g., coordination gaps between ICA, IRGC Customs Command, and transport authorities).</w:t>
      </w:r>
    </w:p>
    <w:p>
      <w:pPr>
        <w:numPr>
          <w:ilvl w:val="0"/>
          <w:numId w:val="1001"/>
        </w:numPr>
        <w:pStyle w:val="Compact"/>
      </w:pPr>
      <w:r>
        <w:rPr>
          <w:iCs/>
          <w:i/>
        </w:rPr>
        <w:t xml:space="preserve">To develop a tailored framework for enhancing the integrity, technical proficiency, and decision-making autonomy of Customs Officers in Iran Tehran</w:t>
      </w:r>
      <w:r>
        <w:t xml:space="preserve">, directly addressing sanctions-compliance complexities.</w:t>
      </w:r>
    </w:p>
    <w:bookmarkEnd w:id="22"/>
    <w:bookmarkStart w:id="23" w:name="methodology"/>
    <w:p>
      <w:pPr>
        <w:pStyle w:val="Heading2"/>
      </w:pPr>
      <w:r>
        <w:t xml:space="preserve">4. Methodology</w:t>
      </w:r>
    </w:p>
    <w:p>
      <w:pPr>
        <w:pStyle w:val="FirstParagraph"/>
      </w:pPr>
      <w:r>
        <w:t xml:space="preserve">The study will employ a mixed-methods approach conducted exclusively in Tehran:</w:t>
      </w:r>
    </w:p>
    <w:p>
      <w:pPr>
        <w:numPr>
          <w:ilvl w:val="0"/>
          <w:numId w:val="1002"/>
        </w:numPr>
        <w:pStyle w:val="Compact"/>
      </w:pPr>
      <w:r>
        <w:rPr>
          <w:bCs/>
          <w:b/>
        </w:rPr>
        <w:t xml:space="preserve">Quantitative Phase:</w:t>
      </w:r>
      <w:r>
        <w:t xml:space="preserve"> </w:t>
      </w:r>
      <w:r>
        <w:t xml:space="preserve">Survey of 250 active Customs Officers across 15 Tehran customs branches (using stratified random sampling) to measure training gaps, workload stressors, and technology adoption rates. Data will be analyzed via SPSS to identify statistically significant trends.</w:t>
      </w:r>
    </w:p>
    <w:p>
      <w:pPr>
        <w:numPr>
          <w:ilvl w:val="0"/>
          <w:numId w:val="1002"/>
        </w:numPr>
        <w:pStyle w:val="Compact"/>
      </w:pPr>
      <w:r>
        <w:rPr>
          <w:bCs/>
          <w:b/>
        </w:rPr>
        <w:t xml:space="preserve">Qualitative Phase:</w:t>
      </w:r>
      <w:r>
        <w:t xml:space="preserve"> </w:t>
      </w:r>
      <w:r>
        <w:t xml:space="preserve">In-depth interviews with 30 senior Customs Officers and ICA policymakers in Tehran, alongside observational fieldwork at key terminals (e.g., Tehran International Airport Cargo Terminal). This will uncover nuanced challenges like human factors in sanctions enforcement.</w:t>
      </w:r>
    </w:p>
    <w:p>
      <w:pPr>
        <w:numPr>
          <w:ilvl w:val="0"/>
          <w:numId w:val="1002"/>
        </w:numPr>
        <w:pStyle w:val="Compact"/>
      </w:pPr>
      <w:r>
        <w:rPr>
          <w:bCs/>
          <w:b/>
        </w:rPr>
        <w:t xml:space="preserve">Comparative Analysis:</w:t>
      </w:r>
      <w:r>
        <w:t xml:space="preserve"> </w:t>
      </w:r>
      <w:r>
        <w:t xml:space="preserve">Benchmarks against successful customs reforms in Istanbul and Dubai, adapted to Tehran's specific legal and economic constraints under Iran's current framework.</w:t>
      </w:r>
    </w:p>
    <w:p>
      <w:pPr>
        <w:pStyle w:val="FirstParagraph"/>
      </w:pPr>
      <w:r>
        <w:t xml:space="preserve">All data collection will adhere strictly to Iranian ethical research standards. Collaboration with the ICA’s Tehran office ensures operational alignment and access to anonymized clearance data for process mapping.</w:t>
      </w:r>
    </w:p>
    <w:bookmarkEnd w:id="23"/>
    <w:bookmarkStart w:id="24" w:name="expected-outcomes-and-significance"/>
    <w:p>
      <w:pPr>
        <w:pStyle w:val="Heading2"/>
      </w:pPr>
      <w:r>
        <w:t xml:space="preserve">5. Expected Outcomes and Significance</w:t>
      </w:r>
    </w:p>
    <w:p>
      <w:pPr>
        <w:pStyle w:val="FirstParagraph"/>
      </w:pPr>
      <w:r>
        <w:t xml:space="preserve">This research directly targets critical gaps in the</w:t>
      </w:r>
      <w:r>
        <w:t xml:space="preserve"> </w:t>
      </w:r>
      <w:r>
        <w:rPr>
          <w:bCs/>
          <w:b/>
        </w:rPr>
        <w:t xml:space="preserve">Customs Officer</w:t>
      </w:r>
      <w:r>
        <w:t xml:space="preserve"> </w:t>
      </w:r>
      <w:r>
        <w:t xml:space="preserve">ecosystem within Iran Tehran. Expected outputs include:</w:t>
      </w:r>
    </w:p>
    <w:p>
      <w:pPr>
        <w:numPr>
          <w:ilvl w:val="0"/>
          <w:numId w:val="1003"/>
        </w:numPr>
        <w:pStyle w:val="Compact"/>
      </w:pPr>
      <w:r>
        <w:t xml:space="preserve">A validated assessment tool for measuring Customs Officer competency in Tehran's sanctions environment.</w:t>
      </w:r>
    </w:p>
    <w:p>
      <w:pPr>
        <w:numPr>
          <w:ilvl w:val="0"/>
          <w:numId w:val="1003"/>
        </w:numPr>
        <w:pStyle w:val="Compact"/>
      </w:pPr>
      <w:r>
        <w:t xml:space="preserve">A phased implementation roadmap for digital tools (e.g., AI-assisted risk scoring) optimized for Tehran’s infrastructure limitations.</w:t>
      </w:r>
    </w:p>
    <w:p>
      <w:pPr>
        <w:numPr>
          <w:ilvl w:val="0"/>
          <w:numId w:val="1003"/>
        </w:numPr>
        <w:pStyle w:val="Compact"/>
      </w:pPr>
      <w:r>
        <w:t xml:space="preserve">Policy recommendations to reduce clearance times by 30% within 18 months through streamlined workflows, directly benefiting Tehran-based businesses and the national economy.</w:t>
      </w:r>
    </w:p>
    <w:p>
      <w:pPr>
        <w:pStyle w:val="FirstParagraph"/>
      </w:pPr>
      <w:r>
        <w:t xml:space="preserve">The significance extends beyond efficiency: enhancing the professional capacity of</w:t>
      </w:r>
      <w:r>
        <w:t xml:space="preserve"> </w:t>
      </w:r>
      <w:r>
        <w:rPr>
          <w:bCs/>
          <w:b/>
        </w:rPr>
        <w:t xml:space="preserve">Customs Officer</w:t>
      </w:r>
      <w:r>
        <w:t xml:space="preserve">s in Tehran strengthens Iran's sovereignty over its trade governance. By reducing manual processing errors and corruption risks—identified as a key factor in revenue loss at Tehran facilities—the study supports national fiscal health. Crucially, this work will inform Iran's ongoing customs modernization strategy (2024–2030), with Tehran as the pilot city for scalable reforms.</w:t>
      </w:r>
    </w:p>
    <w:bookmarkEnd w:id="24"/>
    <w:bookmarkStart w:id="25" w:name="implementation-timeline"/>
    <w:p>
      <w:pPr>
        <w:pStyle w:val="Heading2"/>
      </w:pPr>
      <w:r>
        <w:t xml:space="preserve">6. Implementation Timeline</w:t>
      </w:r>
    </w:p>
    <w:p>
      <w:pPr>
        <w:pStyle w:val="FirstParagraph"/>
      </w:pPr>
      <w:r>
        <w:t xml:space="preserve">The 14-month project will be executed in Tehran as follows:</w:t>
      </w:r>
    </w:p>
    <w:p>
      <w:pPr>
        <w:numPr>
          <w:ilvl w:val="0"/>
          <w:numId w:val="1004"/>
        </w:numPr>
        <w:pStyle w:val="Compact"/>
      </w:pPr>
      <w:r>
        <w:rPr>
          <w:bCs/>
          <w:b/>
        </w:rPr>
        <w:t xml:space="preserve">Months 1–3:</w:t>
      </w:r>
      <w:r>
        <w:t xml:space="preserve"> </w:t>
      </w:r>
      <w:r>
        <w:t xml:space="preserve">ICA partnership formalization; ethics approval; survey instrument finalization.</w:t>
      </w:r>
    </w:p>
    <w:p>
      <w:pPr>
        <w:numPr>
          <w:ilvl w:val="0"/>
          <w:numId w:val="1004"/>
        </w:numPr>
        <w:pStyle w:val="Compact"/>
      </w:pPr>
      <w:r>
        <w:rPr>
          <w:bCs/>
          <w:b/>
        </w:rPr>
        <w:t xml:space="preserve">Months 4–8:</w:t>
      </w:r>
      <w:r>
        <w:t xml:space="preserve"> </w:t>
      </w:r>
      <w:r>
        <w:t xml:space="preserve">Data collection (surveys, interviews) across Tehran customs zones.</w:t>
      </w:r>
    </w:p>
    <w:p>
      <w:pPr>
        <w:numPr>
          <w:ilvl w:val="0"/>
          <w:numId w:val="1004"/>
        </w:numPr>
        <w:pStyle w:val="Compact"/>
      </w:pPr>
      <w:r>
        <w:rPr>
          <w:bCs/>
          <w:b/>
        </w:rPr>
        <w:t xml:space="preserve">Months 9–12:</w:t>
      </w:r>
      <w:r>
        <w:t xml:space="preserve"> </w:t>
      </w:r>
      <w:r>
        <w:t xml:space="preserve">Data analysis; draft framework development in consultation with ICA Tehran officials.</w:t>
      </w:r>
    </w:p>
    <w:p>
      <w:pPr>
        <w:numPr>
          <w:ilvl w:val="0"/>
          <w:numId w:val="1004"/>
        </w:numPr>
        <w:pStyle w:val="Compact"/>
      </w:pPr>
      <w:r>
        <w:rPr>
          <w:bCs/>
          <w:b/>
        </w:rPr>
        <w:t xml:space="preserve">Months 13–14:</w:t>
      </w:r>
      <w:r>
        <w:t xml:space="preserve"> </w:t>
      </w:r>
      <w:r>
        <w:t xml:space="preserve">Validation workshop with Tehran Customs Directorate; final report submission and policy briefs to the Ministry of Economic Affairs and Finance.</w:t>
      </w:r>
    </w:p>
    <w:bookmarkEnd w:id="25"/>
    <w:bookmarkStart w:id="26" w:name="conclusion"/>
    <w:p>
      <w:pPr>
        <w:pStyle w:val="Heading2"/>
      </w:pPr>
      <w:r>
        <w:t xml:space="preserve">7. Conclusion</w:t>
      </w:r>
    </w:p>
    <w:p>
      <w:pPr>
        <w:pStyle w:val="FirstParagraph"/>
      </w:pPr>
      <w:r>
        <w:t xml:space="preserve">The efficiency, integrity, and technical acumen of the</w:t>
      </w:r>
      <w:r>
        <w:t xml:space="preserve"> </w:t>
      </w:r>
      <w:r>
        <w:rPr>
          <w:bCs/>
          <w:b/>
        </w:rPr>
        <w:t xml:space="preserve">Customs Officer</w:t>
      </w:r>
      <w:r>
        <w:t xml:space="preserve"> </w:t>
      </w:r>
      <w:r>
        <w:t xml:space="preserve">in Iran Tehran are not merely operational concerns—they are strategic imperatives for economic resilience. This</w:t>
      </w:r>
      <w:r>
        <w:t xml:space="preserve"> </w:t>
      </w:r>
      <w:r>
        <w:rPr>
          <w:bCs/>
          <w:b/>
        </w:rPr>
        <w:t xml:space="preserve">Research Proposal</w:t>
      </w:r>
      <w:r>
        <w:t xml:space="preserve"> </w:t>
      </w:r>
      <w:r>
        <w:t xml:space="preserve">outlines a rigorous, context-specific investigation designed to transform customs operations from a bottleneck into an asset for Iran's trade ecosystem. By centering the expertise and challenges of Tehran’s frontline Customs Officers, the study will deliver actionable solutions that align with national priorities while respecting Iran's unique geopolitical and economic landscape. The outcomes promise not only faster cargo clearance but also a more trusted, transparent customs framework—vital for sustaining Tehran’s role as Iran's economic engine in a complex global environment.</w:t>
      </w:r>
    </w:p>
    <w:bookmarkEnd w:id="26"/>
    <w:bookmarkStart w:id="27" w:name="references-illustrative"/>
    <w:p>
      <w:pPr>
        <w:pStyle w:val="Heading2"/>
      </w:pPr>
      <w:r>
        <w:t xml:space="preserve">8. References (Illustrative)</w:t>
      </w:r>
    </w:p>
    <w:p>
      <w:pPr>
        <w:pStyle w:val="FirstParagraph"/>
      </w:pPr>
      <w:r>
        <w:t xml:space="preserve">Iranian Customs Administration Annual Report (2023). Tehran: Ministry of Economic Affairs and Finance.</w:t>
      </w:r>
      <w:r>
        <w:br/>
      </w:r>
      <w:r>
        <w:t xml:space="preserve">World Bank. (2024). Trade Facilitation in Sanctioned Economies: Lessons from Iran’s Experience.</w:t>
      </w:r>
      <w:r>
        <w:br/>
      </w:r>
      <w:r>
        <w:t xml:space="preserve">ICA Internal Survey on Customs Officer Workload (Unpublished, 2023). Tehran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Efficiency and Integrity of Customs Officers in Iran Tehran</dc:title>
  <dc:creator/>
  <dc:language>en</dc:language>
  <cp:keywords/>
  <dcterms:created xsi:type="dcterms:W3CDTF">2026-07-19T05:13:06Z</dcterms:created>
  <dcterms:modified xsi:type="dcterms:W3CDTF">2026-07-19T05:13:06Z</dcterms:modified>
</cp:coreProperties>
</file>

<file path=docProps/custom.xml><?xml version="1.0" encoding="utf-8"?>
<Properties xmlns="http://schemas.openxmlformats.org/officeDocument/2006/custom-properties" xmlns:vt="http://schemas.openxmlformats.org/officeDocument/2006/docPropsVTypes"/>
</file>