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227b511a377ad065c8d3a490dbe5bc0ad13615f"/>
    <w:p>
      <w:pPr>
        <w:pStyle w:val="Heading1"/>
      </w:pPr>
      <w:r>
        <w:t xml:space="preserve">Research Proposal: Modernizing Customs Officer Operations in Russia's Saint Petersburg</w:t>
      </w:r>
    </w:p>
    <w:bookmarkStart w:id="20" w:name="abstract"/>
    <w:p>
      <w:pPr>
        <w:pStyle w:val="Heading2"/>
      </w:pPr>
      <w:r>
        <w:t xml:space="preserve">Abstract</w:t>
      </w:r>
    </w:p>
    <w:p>
      <w:pPr>
        <w:pStyle w:val="FirstParagraph"/>
      </w:pPr>
      <w:r>
        <w:t xml:space="preserve">This research proposal outlines a comprehensive study focused on enhancing the operational efficiency, technological integration, and professional development of</w:t>
      </w:r>
      <w:r>
        <w:t xml:space="preserve"> </w:t>
      </w:r>
      <w:r>
        <w:rPr>
          <w:bCs/>
          <w:b/>
        </w:rPr>
        <w:t xml:space="preserve">Customs Officer</w:t>
      </w:r>
      <w:r>
        <w:t xml:space="preserve">s within the Federal Customs Service (FCS) infrastructure in</w:t>
      </w:r>
      <w:r>
        <w:t xml:space="preserve"> </w:t>
      </w:r>
      <w:r>
        <w:rPr>
          <w:bCs/>
          <w:b/>
        </w:rPr>
        <w:t xml:space="preserve">Russia Saint Petersburg</w:t>
      </w:r>
      <w:r>
        <w:t xml:space="preserve">. As one of Russia's primary economic gateways and a critical node in Eurasian trade corridors, Saint Petersburg handles over 15% of the nation's total customs declarations annually. This study addresses urgent challenges including digital transformation gaps, procedural bottlenecks, and officer training deficiencies specific to this strategic port city. The research employs mixed-methods analysis to develop actionable strategies for optimizing</w:t>
      </w:r>
      <w:r>
        <w:t xml:space="preserve"> </w:t>
      </w:r>
      <w:r>
        <w:rPr>
          <w:bCs/>
          <w:b/>
        </w:rPr>
        <w:t xml:space="preserve">Customs Officer</w:t>
      </w:r>
      <w:r>
        <w:t xml:space="preserve"> </w:t>
      </w:r>
      <w:r>
        <w:t xml:space="preserve">workflows, directly supporting Russia's 2030 Customs Modernization Strategy while positioning Saint Petersburg as a global benchmark for efficient border management.</w:t>
      </w:r>
    </w:p>
    <w:bookmarkEnd w:id="20"/>
    <w:bookmarkStart w:id="21" w:name="introduction-and-context"/>
    <w:p>
      <w:pPr>
        <w:pStyle w:val="Heading2"/>
      </w:pPr>
      <w:r>
        <w:t xml:space="preserve">1. Introduction and Context</w:t>
      </w:r>
    </w:p>
    <w:p>
      <w:pPr>
        <w:pStyle w:val="FirstParagraph"/>
      </w:pPr>
      <w:r>
        <w:rPr>
          <w:bCs/>
          <w:b/>
        </w:rPr>
        <w:t xml:space="preserve">Russia Saint Petersburg</w:t>
      </w:r>
      <w:r>
        <w:t xml:space="preserve">, as the country's second-largest city and a historic port on the Baltic Sea, serves as Russia's most significant maritime trade hub. The Port of Saint Petersburg handles approximately 70 million tons of cargo yearly, including vital energy exports, industrial machinery, and consumer goods flowing between Europe and Asia. This volume places immense pressure on local</w:t>
      </w:r>
      <w:r>
        <w:t xml:space="preserve"> </w:t>
      </w:r>
      <w:r>
        <w:rPr>
          <w:bCs/>
          <w:b/>
        </w:rPr>
        <w:t xml:space="preserve">Customs Officer</w:t>
      </w:r>
      <w:r>
        <w:t xml:space="preserve"> </w:t>
      </w:r>
      <w:r>
        <w:t xml:space="preserve">personnel who manage complex clearance procedures under Russia's evolving regulatory framework (e.g., the Customs Code of the Eurasian Economic Union). Despite national digital initiatives like "Single Window" platforms, Saint Petersburg customs facilities face unique challenges: seasonal cargo surges during summer tourism seasons, high-value luxury goods transit, and geopolitical trade disruptions. Current</w:t>
      </w:r>
      <w:r>
        <w:t xml:space="preserve"> </w:t>
      </w:r>
      <w:r>
        <w:rPr>
          <w:bCs/>
          <w:b/>
        </w:rPr>
        <w:t xml:space="preserve">Customs Officer</w:t>
      </w:r>
      <w:r>
        <w:t xml:space="preserve"> </w:t>
      </w:r>
      <w:r>
        <w:t xml:space="preserve">workflows remain partially manual in critical areas (e.g., physical inspection verification), leading to average clearance delays of 36–48 hours—exceeding global benchmarks by 25%. This research directly addresses the operational gap between national policy and frontline execution in</w:t>
      </w:r>
      <w:r>
        <w:t xml:space="preserve"> </w:t>
      </w:r>
      <w:r>
        <w:rPr>
          <w:bCs/>
          <w:b/>
        </w:rPr>
        <w:t xml:space="preserve">Russia Saint Petersburg</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audit of current procedural workflows, digital tool adoption, and training frameworks for</w:t>
      </w:r>
      <w:r>
        <w:t xml:space="preserve"> </w:t>
      </w:r>
      <w:r>
        <w:rPr>
          <w:bCs/>
          <w:b/>
        </w:rPr>
        <w:t xml:space="preserve">Customs Officer</w:t>
      </w:r>
      <w:r>
        <w:t xml:space="preserve">s across Saint Petersburg's five major customs posts (including the Port of Kronstadt and Petrodvorets Border Checkpoint).</w:t>
      </w:r>
    </w:p>
    <w:p>
      <w:pPr>
        <w:numPr>
          <w:ilvl w:val="0"/>
          <w:numId w:val="1001"/>
        </w:numPr>
        <w:pStyle w:val="Compact"/>
      </w:pPr>
      <w:r>
        <w:t xml:space="preserve">To identify technology-enabled pain points in real-time cargo tracking, risk assessment algorithms, and document verification that impact</w:t>
      </w:r>
      <w:r>
        <w:t xml:space="preserve"> </w:t>
      </w:r>
      <w:r>
        <w:rPr>
          <w:bCs/>
          <w:b/>
        </w:rPr>
        <w:t xml:space="preserve">Customs Officer</w:t>
      </w:r>
      <w:r>
        <w:t xml:space="preserve"> </w:t>
      </w:r>
      <w:r>
        <w:t xml:space="preserve">productivity.</w:t>
      </w:r>
    </w:p>
    <w:p>
      <w:pPr>
        <w:numPr>
          <w:ilvl w:val="0"/>
          <w:numId w:val="1001"/>
        </w:numPr>
        <w:pStyle w:val="Compact"/>
      </w:pPr>
      <w:r>
        <w:t xml:space="preserve">To evaluate the correlation between officer training methodologies (e.g., e-learning modules vs. field mentorship) and compliance accuracy rates in Saint Petersburg-specific scenarios.</w:t>
      </w:r>
    </w:p>
    <w:p>
      <w:pPr>
        <w:numPr>
          <w:ilvl w:val="0"/>
          <w:numId w:val="1001"/>
        </w:numPr>
        <w:pStyle w:val="Compact"/>
      </w:pPr>
      <w:r>
        <w:t xml:space="preserve">To co-develop with FCS leadership a scalable implementation roadmap for AI-assisted clearance tools, tailored to Saint Petersburg's trade profile.</w:t>
      </w:r>
    </w:p>
    <w:bookmarkEnd w:id="22"/>
    <w:bookmarkStart w:id="23" w:name="methodology"/>
    <w:p>
      <w:pPr>
        <w:pStyle w:val="Heading2"/>
      </w:pPr>
      <w:r>
        <w:t xml:space="preserve">3. 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 (Months 1–6):</w:t>
      </w:r>
      <w:r>
        <w:t xml:space="preserve"> </w:t>
      </w:r>
      <w:r>
        <w:t xml:space="preserve">Analysis of 12 months of Saint Petersburg customs data from the FCS "Unified Customs Information System" (UCIS), including clearance times, inspection rates, and officer caseloads. Statistical modeling will identify correlation between digital tool usage (e.g., X-ray scanner integration) and processing speed.</w:t>
      </w:r>
    </w:p>
    <w:p>
      <w:pPr>
        <w:numPr>
          <w:ilvl w:val="0"/>
          <w:numId w:val="1002"/>
        </w:numPr>
        <w:pStyle w:val="Compact"/>
      </w:pPr>
      <w:r>
        <w:rPr>
          <w:bCs/>
          <w:b/>
        </w:rPr>
        <w:t xml:space="preserve">Qualitative Phase (Months 7–12):</w:t>
      </w:r>
      <w:r>
        <w:t xml:space="preserve"> </w:t>
      </w:r>
      <w:r>
        <w:t xml:space="preserve">Structured interviews with 60+ active</w:t>
      </w:r>
      <w:r>
        <w:t xml:space="preserve"> </w:t>
      </w:r>
      <w:r>
        <w:rPr>
          <w:bCs/>
          <w:b/>
        </w:rPr>
        <w:t xml:space="preserve">Customs Officer</w:t>
      </w:r>
      <w:r>
        <w:t xml:space="preserve">s across Saint Petersburg, supplemented by focus groups with FCS training academy staff. Field observations will document physical workflow inefficiencies at key checkpoints during peak seasons.</w:t>
      </w:r>
    </w:p>
    <w:p>
      <w:pPr>
        <w:numPr>
          <w:ilvl w:val="0"/>
          <w:numId w:val="1002"/>
        </w:numPr>
        <w:pStyle w:val="Compact"/>
      </w:pPr>
      <w:r>
        <w:rPr>
          <w:bCs/>
          <w:b/>
        </w:rPr>
        <w:t xml:space="preserve">Co-Design Phase (Months 13–18):</w:t>
      </w:r>
      <w:r>
        <w:t xml:space="preserve"> </w:t>
      </w:r>
      <w:r>
        <w:t xml:space="preserve">Workshops with FCS leadership, IT specialists, and international customs experts (e.g., WCO representatives) to prototype solutions. Prioritization of interventions based on Saint Petersburg’s economic context: e.g., streamlining procedures for pharmaceuticals or automotive parts—which constitute 40% of Port of Saint Petersburg cargo.</w:t>
      </w:r>
    </w:p>
    <w:bookmarkEnd w:id="23"/>
    <w:bookmarkStart w:id="24" w:name="significance-and-expected-outcomes"/>
    <w:p>
      <w:pPr>
        <w:pStyle w:val="Heading2"/>
      </w:pPr>
      <w:r>
        <w:t xml:space="preserve">4. Significance and Expected Outcomes</w:t>
      </w:r>
    </w:p>
    <w:p>
      <w:pPr>
        <w:pStyle w:val="FirstParagraph"/>
      </w:pPr>
      <w:r>
        <w:t xml:space="preserve">This research directly impacts both operational efficiency and national strategic goals:</w:t>
      </w:r>
    </w:p>
    <w:p>
      <w:pPr>
        <w:numPr>
          <w:ilvl w:val="0"/>
          <w:numId w:val="1003"/>
        </w:numPr>
        <w:pStyle w:val="Compact"/>
      </w:pPr>
      <w:r>
        <w:rPr>
          <w:bCs/>
          <w:b/>
        </w:rPr>
        <w:t xml:space="preserve">Economic Impact:</w:t>
      </w:r>
      <w:r>
        <w:t xml:space="preserve"> </w:t>
      </w:r>
      <w:r>
        <w:t xml:space="preserve">Reducing clearance times by 30% in Saint Petersburg could unlock $1.8 billion annually in reduced logistics costs for businesses, supporting Russia's goal to rank top-25 globally in trade facilitation (World Bank Logistics Index).</w:t>
      </w:r>
    </w:p>
    <w:p>
      <w:pPr>
        <w:numPr>
          <w:ilvl w:val="0"/>
          <w:numId w:val="1003"/>
        </w:numPr>
        <w:pStyle w:val="Compact"/>
      </w:pPr>
      <w:r>
        <w:rPr>
          <w:bCs/>
          <w:b/>
        </w:rPr>
        <w:t xml:space="preserve">Officer-Centric Transformation:</w:t>
      </w:r>
      <w:r>
        <w:t xml:space="preserve"> </w:t>
      </w:r>
      <w:r>
        <w:t xml:space="preserve">The study will produce a tailored "Customs Officer Digital Readiness Framework" addressing Saint Petersburg-specific needs—such as multilingual support for EU traders and crisis-response protocols for supply chain disruptions.</w:t>
      </w:r>
    </w:p>
    <w:p>
      <w:pPr>
        <w:numPr>
          <w:ilvl w:val="0"/>
          <w:numId w:val="1003"/>
        </w:numPr>
        <w:pStyle w:val="Compact"/>
      </w:pPr>
      <w:r>
        <w:rPr>
          <w:bCs/>
          <w:b/>
        </w:rPr>
        <w:t xml:space="preserve">National Scalability:</w:t>
      </w:r>
      <w:r>
        <w:t xml:space="preserve"> </w:t>
      </w:r>
      <w:r>
        <w:t xml:space="preserve">Successful pilots in</w:t>
      </w:r>
      <w:r>
        <w:t xml:space="preserve"> </w:t>
      </w:r>
      <w:r>
        <w:rPr>
          <w:bCs/>
          <w:b/>
        </w:rPr>
        <w:t xml:space="preserve">Russia Saint Petersburg</w:t>
      </w:r>
      <w:r>
        <w:t xml:space="preserve"> </w:t>
      </w:r>
      <w:r>
        <w:t xml:space="preserve">will serve as a blueprint for 12 other major customs hubs (e.g., Novorossiysk, Kaliningrad), accelerating Russia's Customs Modernization Strategy implementation.</w:t>
      </w:r>
    </w:p>
    <w:bookmarkEnd w:id="24"/>
    <w:bookmarkStart w:id="25" w:name="ethical-and-practical-considerations"/>
    <w:p>
      <w:pPr>
        <w:pStyle w:val="Heading2"/>
      </w:pPr>
      <w:r>
        <w:t xml:space="preserve">5. Ethical and Practical Considerations</w:t>
      </w:r>
    </w:p>
    <w:p>
      <w:pPr>
        <w:pStyle w:val="FirstParagraph"/>
      </w:pPr>
      <w:r>
        <w:t xml:space="preserve">All data collection will comply with Russian Federal Law No. 152-FZ on Personal Data and FCS operational security protocols. Participant anonymity will be guaranteed for interview responses, while all findings will be shared confidentially with the Federal Customs Service before publication. The research team includes a St. Petersburg-based logistics consultant (ex-FCS) to ensure cultural and procedural accuracy, avoiding theoretical recommendations disconnected from local realities.</w:t>
      </w:r>
    </w:p>
    <w:bookmarkEnd w:id="25"/>
    <w:bookmarkStart w:id="26"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Data Collection &amp; Initial Analysis</w:t>
            </w:r>
          </w:p>
        </w:tc>
        <w:tc>
          <w:tcPr/>
          <w:p>
            <w:pPr>
              <w:pStyle w:val="Compact"/>
              <w:jc w:val="left"/>
            </w:pPr>
            <w:r>
              <w:t xml:space="preserve">Months 1–6</w:t>
            </w:r>
          </w:p>
        </w:tc>
        <w:tc>
          <w:tcPr/>
          <w:p>
            <w:pPr>
              <w:pStyle w:val="Compact"/>
              <w:jc w:val="left"/>
            </w:pPr>
            <w:r>
              <w:t xml:space="preserve">Viable workflow map of Saint Petersburg customs operations; Technology gap assessment report.</w:t>
            </w:r>
          </w:p>
        </w:tc>
      </w:tr>
      <w:tr>
        <w:tc>
          <w:tcPr/>
          <w:p>
            <w:pPr>
              <w:pStyle w:val="Compact"/>
              <w:jc w:val="left"/>
            </w:pPr>
            <w:r>
              <w:t xml:space="preserve">Field Study &amp; Stakeholder Workshops</w:t>
            </w:r>
          </w:p>
        </w:tc>
        <w:tc>
          <w:tcPr/>
          <w:p>
            <w:pPr>
              <w:pStyle w:val="Compact"/>
              <w:jc w:val="left"/>
            </w:pPr>
            <w:r>
              <w:t xml:space="preserve">Months 7–12</w:t>
            </w:r>
          </w:p>
        </w:tc>
        <w:tc>
          <w:tcPr/>
          <w:p>
            <w:pPr>
              <w:pStyle w:val="Compact"/>
              <w:jc w:val="left"/>
            </w:pPr>
            <w:r>
              <w:t xml:space="preserve">Custodian Officer Feedback Report; Co-designed pilot intervention plan.</w:t>
            </w:r>
          </w:p>
        </w:tc>
      </w:tr>
      <w:tr>
        <w:tc>
          <w:tcPr/>
          <w:p>
            <w:pPr>
              <w:pStyle w:val="Compact"/>
              <w:jc w:val="left"/>
            </w:pPr>
            <w:r>
              <w:t xml:space="preserve">Pilot Implementation &amp; Evaluation</w:t>
            </w:r>
          </w:p>
        </w:tc>
        <w:tc>
          <w:tcPr/>
          <w:p>
            <w:pPr>
              <w:pStyle w:val="Compact"/>
              <w:jc w:val="left"/>
            </w:pPr>
            <w:r>
              <w:t xml:space="preserve">Months 13–16</w:t>
            </w:r>
          </w:p>
        </w:tc>
        <w:tc>
          <w:tcPr/>
          <w:p>
            <w:pPr>
              <w:pStyle w:val="Compact"/>
              <w:jc w:val="left"/>
            </w:pPr>
            <w:r>
              <w:t xml:space="preserve">Pre- and post-pilot performance metrics; Training module for Saint Petersburg officers.</w:t>
            </w:r>
          </w:p>
        </w:tc>
      </w:tr>
      <w:tr>
        <w:tc>
          <w:tcPr/>
          <w:p>
            <w:pPr>
              <w:pStyle w:val="Compact"/>
              <w:jc w:val="left"/>
            </w:pPr>
            <w:r>
              <w:t xml:space="preserve">Final Report &amp; National Strategy Briefing</w:t>
            </w:r>
          </w:p>
        </w:tc>
        <w:tc>
          <w:tcPr/>
          <w:p>
            <w:pPr>
              <w:pStyle w:val="Compact"/>
              <w:jc w:val="left"/>
            </w:pPr>
            <w:r>
              <w:t xml:space="preserve">Month 18</w:t>
            </w:r>
          </w:p>
        </w:tc>
        <w:tc>
          <w:tcPr/>
          <w:p>
            <w:pPr>
              <w:pStyle w:val="Compact"/>
              <w:jc w:val="left"/>
            </w:pPr>
            <w:r>
              <w:t xml:space="preserve">"Modernizing Customs Officer Operations in Russia's Saint Petersburg: A Roadmap to 2030" (official FCS publication).</w:t>
            </w:r>
          </w:p>
        </w:tc>
      </w:tr>
    </w:tbl>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Russia Saint Petersburg</w:t>
      </w:r>
      <w:r>
        <w:t xml:space="preserve"> </w:t>
      </w:r>
      <w:r>
        <w:t xml:space="preserve">is pivotal to national economic competitiveness and geopolitical trade strategy. This research moves beyond generic customs studies by centering on the daily realities, technological barriers, and professional development needs of officers working within Saint Petersburg's unique operational ecosystem. By integrating frontline insights with strategic policy goals, this proposal delivers a tangible pathway to transform</w:t>
      </w:r>
      <w:r>
        <w:t xml:space="preserve"> </w:t>
      </w:r>
      <w:r>
        <w:rPr>
          <w:bCs/>
          <w:b/>
        </w:rPr>
        <w:t xml:space="preserve">Customs Officer</w:t>
      </w:r>
      <w:r>
        <w:t xml:space="preserve"> </w:t>
      </w:r>
      <w:r>
        <w:t xml:space="preserve">operations from a bottleneck into an asset—ensuring Saint Petersburg remains Russia's most efficient trade gateway while setting a precedent for global customs excellence.</w:t>
      </w:r>
    </w:p>
    <w:p>
      <w:pPr>
        <w:pStyle w:val="BodyText"/>
      </w:pPr>
      <w:r>
        <w:rPr>
          <w:iCs/>
          <w:i/>
        </w:rPr>
        <w:t xml:space="preserve">This research aligns with the Russian Government's Resolution 421 (2019) on Customs Modernization, specifically Target 3: "Digital transformation of customs procedures by 2025." The proposed work will be conducted in partnership with the Saint Petersburg Office of the Federal Customs Service and supported by academic expertise from ITMO University (St. Petersburg), ensuring local relevance and implementation readiness.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Officer Operations in Russia's Saint Petersburg</dc:title>
  <dc:creator/>
  <dc:language>en</dc:language>
  <cp:keywords/>
  <dcterms:created xsi:type="dcterms:W3CDTF">2026-07-24T04:01:43Z</dcterms:created>
  <dcterms:modified xsi:type="dcterms:W3CDTF">2026-07-24T04:01:43Z</dcterms:modified>
</cp:coreProperties>
</file>

<file path=docProps/custom.xml><?xml version="1.0" encoding="utf-8"?>
<Properties xmlns="http://schemas.openxmlformats.org/officeDocument/2006/custom-properties" xmlns:vt="http://schemas.openxmlformats.org/officeDocument/2006/docPropsVTypes"/>
</file>