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Uzbekistan</w:t>
      </w:r>
      <w:r>
        <w:t xml:space="preserve"> </w:t>
      </w:r>
      <w:r>
        <w:t xml:space="preserve">Tashkent</w:t>
      </w:r>
    </w:p>
    <w:bookmarkStart w:id="29" w:name="Xfd6e72a7b6b59718c3c6bd8d0f02c833149ff2d"/>
    <w:p>
      <w:pPr>
        <w:pStyle w:val="Heading1"/>
      </w:pPr>
      <w:r>
        <w:t xml:space="preserve">Research Proposal: Enhancing Customs Officer Effectiveness in Uzbekistan Tashkent through Modernization and Training</w:t>
      </w:r>
    </w:p>
    <w:bookmarkStart w:id="20" w:name="introduction"/>
    <w:p>
      <w:pPr>
        <w:pStyle w:val="Heading2"/>
      </w:pPr>
      <w:r>
        <w:t xml:space="preserve">1. Introduction</w:t>
      </w:r>
    </w:p>
    <w:p>
      <w:pPr>
        <w:pStyle w:val="FirstParagraph"/>
      </w:pPr>
      <w:r>
        <w:t xml:space="preserve">The Republic of Uzbekistan has embarked on an ambitious economic reform agenda since 2016, positioning itself as a key transit hub in Central Asia. As the capital city and administrative nerve center, Tashkent serves as the primary gateway for international trade flows into and out of Uzbekistan. The Customs Officer plays a pivotal role in this ecosystem, ensuring national security, revenue collection, and seamless trade facilitation. However, evolving global trade dynamics—marked by digitalization, complex supply chains, and increased smuggling threats—demand a strategic reassessment of customs operations. This</w:t>
      </w:r>
      <w:r>
        <w:t xml:space="preserve"> </w:t>
      </w:r>
      <w:r>
        <w:rPr>
          <w:bCs/>
          <w:b/>
        </w:rPr>
        <w:t xml:space="preserve">Research Proposal</w:t>
      </w:r>
      <w:r>
        <w:t xml:space="preserve"> </w:t>
      </w:r>
      <w:r>
        <w:t xml:space="preserve">addresses the critical need to modernize the role of the Customs Officer in</w:t>
      </w:r>
      <w:r>
        <w:t xml:space="preserve"> </w:t>
      </w:r>
      <w:r>
        <w:rPr>
          <w:bCs/>
          <w:b/>
        </w:rPr>
        <w:t xml:space="preserve">Uzbekistan Tashkent</w:t>
      </w:r>
      <w:r>
        <w:t xml:space="preserve">, aligning with national development goals and international best practices.</w:t>
      </w:r>
    </w:p>
    <w:bookmarkEnd w:id="20"/>
    <w:bookmarkStart w:id="21" w:name="problem-statement"/>
    <w:p>
      <w:pPr>
        <w:pStyle w:val="Heading2"/>
      </w:pPr>
      <w:r>
        <w:t xml:space="preserve">2. Problem Statement</w:t>
      </w:r>
    </w:p>
    <w:p>
      <w:pPr>
        <w:pStyle w:val="FirstParagraph"/>
      </w:pPr>
      <w:r>
        <w:t xml:space="preserve">Current customs operations in Tashkent face significant challenges that undermine efficiency and compliance. Surveys by the World Customs Organization (WCO) indicate that Uzbekistan's border clearance times average 48 hours—exceeding the regional benchmark of 30 hours. This delay stems from manual processing, fragmented data systems, and inadequate training for</w:t>
      </w:r>
      <w:r>
        <w:t xml:space="preserve"> </w:t>
      </w:r>
      <w:r>
        <w:rPr>
          <w:bCs/>
          <w:b/>
        </w:rPr>
        <w:t xml:space="preserve">Customs Officer</w:t>
      </w:r>
      <w:r>
        <w:t xml:space="preserve"> </w:t>
      </w:r>
      <w:r>
        <w:t xml:space="preserve">personnel. Crucially, Tashkent handles over 75% of Uzbekistan’s import/export volume (UZB Customs Statistics, 2023), making operational bottlenecks a national economic concern. Furthermore, rising illicit trade in pharmaceuticals and electronics exposes gaps in risk-assessment capabilities among frontline</w:t>
      </w:r>
      <w:r>
        <w:t xml:space="preserve"> </w:t>
      </w:r>
      <w:r>
        <w:rPr>
          <w:bCs/>
          <w:b/>
        </w:rPr>
        <w:t xml:space="preserve">Customs Officer</w:t>
      </w:r>
      <w:r>
        <w:t xml:space="preserve"> </w:t>
      </w:r>
      <w:r>
        <w:t xml:space="preserve">staff. Without intervention, these issues threaten Uzbekistan’s WTO accession commitments and its "Strategy for the Development of Trade" (2021-2030).</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operational framework, technological infrastructure, and training protocols for Customs Officers in Tashkent.</w:t>
      </w:r>
    </w:p>
    <w:p>
      <w:pPr>
        <w:numPr>
          <w:ilvl w:val="0"/>
          <w:numId w:val="1001"/>
        </w:numPr>
        <w:pStyle w:val="Compact"/>
      </w:pPr>
      <w:r>
        <w:t xml:space="preserve">To identify systemic barriers to efficient customs clearance through stakeholder interviews (Customs Officers, traders, logistics firms).</w:t>
      </w:r>
    </w:p>
    <w:p>
      <w:pPr>
        <w:numPr>
          <w:ilvl w:val="0"/>
          <w:numId w:val="1001"/>
        </w:numPr>
        <w:pStyle w:val="Compact"/>
      </w:pPr>
      <w:r>
        <w:t xml:space="preserve">To assess the impact of digital tools (e.g., single-window systems) on Customs Officer performance metrics.</w:t>
      </w:r>
    </w:p>
    <w:p>
      <w:pPr>
        <w:numPr>
          <w:ilvl w:val="0"/>
          <w:numId w:val="1001"/>
        </w:numPr>
        <w:pStyle w:val="Compact"/>
      </w:pPr>
      <w:r>
        <w:t xml:space="preserve">To develop evidence-based recommendations for modernizing Customs Officer roles in Tashkent, emphasizing AI-driven risk analysis and cross-agency coordination.</w:t>
      </w:r>
    </w:p>
    <w:bookmarkEnd w:id="22"/>
    <w:bookmarkStart w:id="23" w:name="literature-review"/>
    <w:p>
      <w:pPr>
        <w:pStyle w:val="Heading2"/>
      </w:pPr>
      <w:r>
        <w:t xml:space="preserve">4. Literature Review</w:t>
      </w:r>
    </w:p>
    <w:p>
      <w:pPr>
        <w:pStyle w:val="FirstParagraph"/>
      </w:pPr>
      <w:r>
        <w:t xml:space="preserve">Global studies highlight that effective customs operations correlate with digital integration and specialized officer training. The WCO’s "Framework of Standards" emphasizes that modern Customs Officers must transcend traditional inspection duties to become data analysts and security liaisons (WCO, 2023). A World Bank report on Central Asia notes that Kazakhstan reduced clearance times by 50% after implementing AI-based cargo prioritization—directly improving Customs Officer productivity (World Bank, 2022). Conversely, Uzbekistan’s current system relies heavily on paper-based checks, creating vulnerability to corruption and errors. This research bridges the gap between international best practices and Tashkent’s unique operational context, where cultural factors (e.g., language barriers with Turkic-speaking traders) further complicate customs processes.</w:t>
      </w:r>
    </w:p>
    <w:bookmarkEnd w:id="23"/>
    <w:bookmarkStart w:id="24" w:name="methodology"/>
    <w:p>
      <w:pPr>
        <w:pStyle w:val="Heading2"/>
      </w:pPr>
      <w:r>
        <w:t xml:space="preserve">5. Methodology</w:t>
      </w:r>
    </w:p>
    <w:p>
      <w:pPr>
        <w:pStyle w:val="FirstParagraph"/>
      </w:pPr>
      <w:r>
        <w:t xml:space="preserve">This mixed-methods study will deploy a 12-month fieldwork protocol in</w:t>
      </w:r>
      <w:r>
        <w:t xml:space="preserve"> </w:t>
      </w:r>
      <w:r>
        <w:rPr>
          <w:bCs/>
          <w:b/>
        </w:rPr>
        <w:t xml:space="preserve">Uzbekistan Tashkent</w:t>
      </w:r>
      <w:r>
        <w:t xml:space="preserve">:</w:t>
      </w:r>
    </w:p>
    <w:p>
      <w:pPr>
        <w:numPr>
          <w:ilvl w:val="0"/>
          <w:numId w:val="1002"/>
        </w:numPr>
        <w:pStyle w:val="Compact"/>
      </w:pPr>
      <w:r>
        <w:rPr>
          <w:bCs/>
          <w:b/>
        </w:rPr>
        <w:t xml:space="preserve">Phase 1 (Months 1-3):</w:t>
      </w:r>
      <w:r>
        <w:t xml:space="preserve"> </w:t>
      </w:r>
      <w:r>
        <w:t xml:space="preserve">Quantitative analysis of clearance data from Tashkent’s main customs offices (Nukus, Chilanzar, and Central Terminal) using Uzbekistan’s National Single Window platform.</w:t>
      </w:r>
    </w:p>
    <w:p>
      <w:pPr>
        <w:numPr>
          <w:ilvl w:val="0"/>
          <w:numId w:val="1002"/>
        </w:numPr>
        <w:pStyle w:val="Compact"/>
      </w:pPr>
      <w:r>
        <w:rPr>
          <w:bCs/>
          <w:b/>
        </w:rPr>
        <w:t xml:space="preserve">Phase 2 (Months 4-6):</w:t>
      </w:r>
      <w:r>
        <w:t xml:space="preserve"> </w:t>
      </w:r>
      <w:r>
        <w:t xml:space="preserve">Qualitative interviews with 50+ Customs Officers across Tashkent (stratified by experience level), plus focus groups with 15 major import/export companies operating through Tashkent’s ports.</w:t>
      </w:r>
    </w:p>
    <w:p>
      <w:pPr>
        <w:numPr>
          <w:ilvl w:val="0"/>
          <w:numId w:val="1002"/>
        </w:numPr>
        <w:pStyle w:val="Compact"/>
      </w:pPr>
      <w:r>
        <w:rPr>
          <w:bCs/>
          <w:b/>
        </w:rPr>
        <w:t xml:space="preserve">Phase 3 (Months 7-9):</w:t>
      </w:r>
      <w:r>
        <w:t xml:space="preserve"> </w:t>
      </w:r>
      <w:r>
        <w:t xml:space="preserve">Pilot testing of a digital risk-assessment module developed in partnership with Tashkent State University of Economics, simulating real-world cargo scenarios for Customs Officers.</w:t>
      </w:r>
    </w:p>
    <w:p>
      <w:pPr>
        <w:numPr>
          <w:ilvl w:val="0"/>
          <w:numId w:val="1002"/>
        </w:numPr>
        <w:pStyle w:val="Compact"/>
      </w:pPr>
      <w:r>
        <w:rPr>
          <w:bCs/>
          <w:b/>
        </w:rPr>
        <w:t xml:space="preserve">Phase 4 (Months 10-12):</w:t>
      </w:r>
      <w:r>
        <w:t xml:space="preserve"> </w:t>
      </w:r>
      <w:r>
        <w:t xml:space="preserve">Policy drafting and validation workshops with Uzbekistan’s State Customs Committee (SCC) in Tashkent.</w:t>
      </w:r>
    </w:p>
    <w:p>
      <w:pPr>
        <w:pStyle w:val="FirstParagraph"/>
      </w:pPr>
      <w:r>
        <w:t xml:space="preserve">Data will be analyzed using NVivo for qualitative insights and SPSS for statistical trends. Ethical approval will be secured from Tashkent’s National Ethics Board.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Uzbekistan’s customs landscape:</w:t>
      </w:r>
    </w:p>
    <w:p>
      <w:pPr>
        <w:numPr>
          <w:ilvl w:val="0"/>
          <w:numId w:val="1003"/>
        </w:numPr>
        <w:pStyle w:val="Compact"/>
      </w:pPr>
      <w:r>
        <w:rPr>
          <w:bCs/>
          <w:b/>
        </w:rPr>
        <w:t xml:space="preserve">Operational Efficiency:</w:t>
      </w:r>
      <w:r>
        <w:t xml:space="preserve"> </w:t>
      </w:r>
      <w:r>
        <w:t xml:space="preserve">Targeted reduction in Tashkent clearance times by 35% within two years through optimized workflows for Customs Officers.</w:t>
      </w:r>
    </w:p>
    <w:p>
      <w:pPr>
        <w:numPr>
          <w:ilvl w:val="0"/>
          <w:numId w:val="1003"/>
        </w:numPr>
        <w:pStyle w:val="Compact"/>
      </w:pPr>
      <w:r>
        <w:rPr>
          <w:bCs/>
          <w:b/>
        </w:rPr>
        <w:t xml:space="preserve">Revenue Protection:</w:t>
      </w:r>
      <w:r>
        <w:t xml:space="preserve"> </w:t>
      </w:r>
      <w:r>
        <w:t xml:space="preserve">Enhanced detection rates of undeclared goods via AI-assisted screening, projected to increase customs revenue by $42M annually (based on SCC pilot data).</w:t>
      </w:r>
    </w:p>
    <w:p>
      <w:pPr>
        <w:numPr>
          <w:ilvl w:val="0"/>
          <w:numId w:val="1003"/>
        </w:numPr>
        <w:pStyle w:val="Compact"/>
      </w:pPr>
      <w:r>
        <w:rPr>
          <w:bCs/>
          <w:b/>
        </w:rPr>
        <w:t xml:space="preserve">Capacity Building:</w:t>
      </w:r>
      <w:r>
        <w:t xml:space="preserve"> </w:t>
      </w:r>
      <w:r>
        <w:t xml:space="preserve">A certified training curriculum for Customs Officers in Tashkent, integrating modules on digital tools and ethical compliance.</w:t>
      </w:r>
    </w:p>
    <w:p>
      <w:pPr>
        <w:numPr>
          <w:ilvl w:val="0"/>
          <w:numId w:val="1003"/>
        </w:numPr>
        <w:pStyle w:val="Compact"/>
      </w:pPr>
      <w:r>
        <w:rPr>
          <w:bCs/>
          <w:b/>
        </w:rPr>
        <w:t xml:space="preserve">National Alignment:</w:t>
      </w:r>
      <w:r>
        <w:t xml:space="preserve"> </w:t>
      </w:r>
      <w:r>
        <w:t xml:space="preserve">Direct support for Uzbekistan’s "Digital Economy" strategy (2023) and the Eurasian Economic Union customs harmonization initiative.</w:t>
      </w:r>
    </w:p>
    <w:p>
      <w:pPr>
        <w:pStyle w:val="FirstParagraph"/>
      </w:pPr>
      <w:r>
        <w:t xml:space="preserve">Most critically, this work positions Tashkent as a model for Central Asia. With $17B in annual trade passing through its ports, streamlined customs operations will attract foreign investment and boost Uzbekistan’s export competitiveness—aligning with the government’s vision of transforming Tashkent into a "Smart Trade Hub."</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Ethics clearance, stakeholder agreements with SCC Tashkent</w:t>
      </w:r>
    </w:p>
    <w:p>
      <w:pPr>
        <w:pStyle w:val="BodyText"/>
      </w:pPr>
      <w:r>
        <w:t xml:space="preserve">Data Collection &amp; Analysis</w:t>
      </w:r>
    </w:p>
    <w:p>
      <w:pPr>
        <w:pStyle w:val="BodyText"/>
      </w:pPr>
      <w:r>
        <w:t xml:space="preserve">Month 3-9</w:t>
      </w:r>
    </w:p>
    <w:p>
      <w:pPr>
        <w:pStyle w:val="BodyText"/>
      </w:pPr>
      <w:r>
        <w:t xml:space="preserve">Quantitative report, interview transcripts, pilot results</w:t>
      </w:r>
    </w:p>
    <w:p>
      <w:pPr>
        <w:pStyle w:val="BodyText"/>
      </w:pPr>
      <w:r>
        <w:t xml:space="preserve">Pilot Implementation &amp; Validation</w:t>
      </w:r>
    </w:p>
    <w:p>
      <w:pPr>
        <w:pStyle w:val="BodyText"/>
      </w:pPr>
      <w:r>
        <w:t xml:space="preserve">Month 7-10</w:t>
      </w:r>
    </w:p>
    <w:p>
      <w:pPr>
        <w:pStyle w:val="BodyText"/>
      </w:pPr>
      <w:r>
        <w:t xml:space="preserve">Digital module prototype, training materials draft</w:t>
      </w:r>
    </w:p>
    <w:p>
      <w:pPr>
        <w:pStyle w:val="BodyText"/>
      </w:pPr>
      <w:r>
        <w:t xml:space="preserve">Policy Finalization &amp; Dissemination</w:t>
      </w:r>
    </w:p>
    <w:p>
      <w:pPr>
        <w:pStyle w:val="BodyText"/>
      </w:pPr>
      <w:r>
        <w:t xml:space="preserve">Month 11-12</w:t>
      </w:r>
    </w:p>
    <w:p>
      <w:pPr>
        <w:pStyle w:val="BodyText"/>
      </w:pPr>
      <w:r>
        <w:br/>
      </w:r>
      <w:r>
        <w:br/>
      </w:r>
    </w:p>
    <w:bookmarkEnd w:id="26"/>
    <w:bookmarkStart w:id="27" w:name="conclusion"/>
    <w:p>
      <w:pPr>
        <w:pStyle w:val="Heading2"/>
      </w:pPr>
      <w:r>
        <w:t xml:space="preserve">8. Conclusion</w:t>
      </w:r>
    </w:p>
    <w:p>
      <w:pPr>
        <w:pStyle w:val="FirstParagraph"/>
      </w:pPr>
      <w:r>
        <w:t xml:space="preserve">The role of the Customs Officer in</w:t>
      </w:r>
      <w:r>
        <w:t xml:space="preserve"> </w:t>
      </w:r>
      <w:r>
        <w:rPr>
          <w:bCs/>
          <w:b/>
        </w:rPr>
        <w:t xml:space="preserve">Uzbekistan Tashkent</w:t>
      </w:r>
      <w:r>
        <w:t xml:space="preserve"> </w:t>
      </w:r>
      <w:r>
        <w:t xml:space="preserve">transcends routine inspection—it is foundational to national economic sovereignty and regional integration. This</w:t>
      </w:r>
      <w:r>
        <w:t xml:space="preserve"> </w:t>
      </w:r>
      <w:r>
        <w:rPr>
          <w:bCs/>
          <w:b/>
        </w:rPr>
        <w:t xml:space="preserve">Research Proposal</w:t>
      </w:r>
      <w:r>
        <w:t xml:space="preserve"> </w:t>
      </w:r>
      <w:r>
        <w:t xml:space="preserve">offers a pragmatic roadmap to transform frontline customs operations through technology, evidence-based training, and institutional collaboration. By investing in the modernization of Customs Officers in Tashkent, Uzbekistan can unlock $500M+ in annual trade efficiency gains while advancing its global trade standing. The proposed research directly supports President Shavkat Mirziyoyev’s "New Uzbekistan" development goals and positions Tashkent as a beacon of customs innovation for the entire Central Asian region.</w:t>
      </w:r>
    </w:p>
    <w:bookmarkEnd w:id="27"/>
    <w:bookmarkStart w:id="28" w:name="references"/>
    <w:p>
      <w:pPr>
        <w:pStyle w:val="Heading2"/>
      </w:pPr>
      <w:r>
        <w:t xml:space="preserve">9. References</w:t>
      </w:r>
    </w:p>
    <w:p>
      <w:pPr>
        <w:pStyle w:val="FirstParagraph"/>
      </w:pPr>
      <w:r>
        <w:t xml:space="preserve">World Customs Organization (WCO). (2023). *Global Framework of Standards on Cross-Border Trade*. Brussels: WCO Press.</w:t>
      </w:r>
      <w:r>
        <w:br/>
      </w:r>
      <w:r>
        <w:t xml:space="preserve">World Bank. (2022). *Central Asia Trade Facilitation Assessment*. Washington, DC: World Bank Group.</w:t>
      </w:r>
      <w:r>
        <w:br/>
      </w:r>
      <w:r>
        <w:t xml:space="preserve">Uzbekistan State Customs Committee. (2023). *Annual Report on Customs Operations in Tashkent*. Tashkent: SCC Publications.</w:t>
      </w:r>
      <w:r>
        <w:br/>
      </w:r>
      <w:r>
        <w:t xml:space="preserve">Government of Uzbekistan. (2021). *Strategy for the Development of Trade (2021-2030)*. Tashkent: Ministry of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Uzbekistan Tashkent</dc:title>
  <dc:creator/>
  <dc:language>en</dc:language>
  <cp:keywords/>
  <dcterms:created xsi:type="dcterms:W3CDTF">2026-07-24T03:40:03Z</dcterms:created>
  <dcterms:modified xsi:type="dcterms:W3CDTF">2026-07-24T03:40:03Z</dcterms:modified>
</cp:coreProperties>
</file>

<file path=docProps/custom.xml><?xml version="1.0" encoding="utf-8"?>
<Properties xmlns="http://schemas.openxmlformats.org/officeDocument/2006/custom-properties" xmlns:vt="http://schemas.openxmlformats.org/officeDocument/2006/docPropsVTypes"/>
</file>