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31" w:name="X4e04ded36dd73d1f99c3c07d0a998e7a3fc5a2c"/>
    <w:p>
      <w:pPr>
        <w:pStyle w:val="Heading1"/>
      </w:pPr>
      <w:r>
        <w:t xml:space="preserve">Research Proposal: Advancing Data Science in Germany Frankfurt's Financial Ecosystem</w:t>
      </w:r>
    </w:p>
    <w:bookmarkStart w:id="20" w:name="introduction-and-background"/>
    <w:p>
      <w:pPr>
        <w:pStyle w:val="Heading2"/>
      </w:pPr>
      <w:r>
        <w:t xml:space="preserve">1. Introduction and Background</w:t>
      </w:r>
    </w:p>
    <w:p>
      <w:pPr>
        <w:pStyle w:val="FirstParagraph"/>
      </w:pPr>
      <w:r>
        <w:t xml:space="preserve">In the dynamic economic landscape of</w:t>
      </w:r>
      <w:r>
        <w:t xml:space="preserve"> </w:t>
      </w:r>
      <w:r>
        <w:rPr>
          <w:bCs/>
          <w:b/>
        </w:rPr>
        <w:t xml:space="preserve">Germany Frankfurt</w:t>
      </w:r>
      <w:r>
        <w:t xml:space="preserve">, the role of the modern</w:t>
      </w:r>
      <w:r>
        <w:t xml:space="preserve"> </w:t>
      </w:r>
      <w:r>
        <w:rPr>
          <w:bCs/>
          <w:b/>
        </w:rPr>
        <w:t xml:space="preserve">Data Scientist</w:t>
      </w:r>
      <w:r>
        <w:t xml:space="preserve"> </w:t>
      </w:r>
      <w:r>
        <w:t xml:space="preserve">has evolved from a technical support function to a strategic business catalyst. As Europe's premier financial hub, Frankfurt hosts the European Central Bank, major banks like Deutsche Bank and Commerzbank, and numerous FinTech innovators. This concentration creates unprecedented opportunities for data-driven transformation, yet also presents complex challenges in regulatory compliance, real-time analytics, and ethical AI implementation. This</w:t>
      </w:r>
      <w:r>
        <w:t xml:space="preserve"> </w:t>
      </w:r>
      <w:r>
        <w:rPr>
          <w:bCs/>
          <w:b/>
        </w:rPr>
        <w:t xml:space="preserve">Research Proposal</w:t>
      </w:r>
      <w:r>
        <w:t xml:space="preserve"> </w:t>
      </w:r>
      <w:r>
        <w:t xml:space="preserve">outlines a comprehensive study to define the next-generation competencies required for</w:t>
      </w:r>
      <w:r>
        <w:t xml:space="preserve"> </w:t>
      </w:r>
      <w:r>
        <w:rPr>
          <w:bCs/>
          <w:b/>
        </w:rPr>
        <w:t xml:space="preserve">Data Scientist</w:t>
      </w:r>
      <w:r>
        <w:t xml:space="preserve">s operating within Frankfurt's unique financial ecosystem. The research addresses critical gaps identified through industry surveys from the Frankfurt School of Finance &amp; Management and the German Federal Statistical Office (Destatis), which report that 68% of financial institutions struggle with data silos despite heavy investment in analytics infrastructure.</w:t>
      </w:r>
    </w:p>
    <w:bookmarkEnd w:id="20"/>
    <w:bookmarkStart w:id="21" w:name="problem-statement"/>
    <w:p>
      <w:pPr>
        <w:pStyle w:val="Heading2"/>
      </w:pPr>
      <w:r>
        <w:t xml:space="preserve">2. Problem Statement</w:t>
      </w:r>
    </w:p>
    <w:p>
      <w:pPr>
        <w:pStyle w:val="FirstParagraph"/>
      </w:pPr>
      <w:r>
        <w:t xml:space="preserve">While Germany has positioned itself as a leader in industrial automation and engineering, its financial sector lags in leveraging advanced data science capabilities compared to London or New York. The core problem lies in the misalignment between traditional academic data science training and Frankfurt's industry-specific demands: (1) regulatory complexity under MiFID II and GDPR, (2) need for real-time risk analytics during volatile market conditions, and (3) integration of alternative data sources like satellite imagery for credit scoring. Current</w:t>
      </w:r>
      <w:r>
        <w:t xml:space="preserve"> </w:t>
      </w:r>
      <w:r>
        <w:rPr>
          <w:bCs/>
          <w:b/>
        </w:rPr>
        <w:t xml:space="preserve">Research Proposal</w:t>
      </w:r>
      <w:r>
        <w:t xml:space="preserve">s often overlook these jurisdictional nuances, producing generic models unsuitable for</w:t>
      </w:r>
      <w:r>
        <w:t xml:space="preserve"> </w:t>
      </w:r>
      <w:r>
        <w:rPr>
          <w:bCs/>
          <w:b/>
        </w:rPr>
        <w:t xml:space="preserve">Germany Frankfurt</w:t>
      </w:r>
      <w:r>
        <w:t xml:space="preserve">'s operational environment. This research directly tackles this disconnect by centering its methodology on Frankfurt's unique regulatory and market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the evolving skillset requirements for Data Scientist roles in Frankfurt-based financial institutions through primary interviews with 50+ senior analytics managers across banking, insurance, and FinTech sectors.</w:t>
      </w:r>
    </w:p>
    <w:p>
      <w:pPr>
        <w:numPr>
          <w:ilvl w:val="0"/>
          <w:numId w:val="1001"/>
        </w:numPr>
        <w:pStyle w:val="Compact"/>
      </w:pPr>
      <w:r>
        <w:rPr>
          <w:bCs/>
          <w:b/>
        </w:rPr>
        <w:t xml:space="preserve">Objective 2:</w:t>
      </w:r>
      <w:r>
        <w:t xml:space="preserve"> </w:t>
      </w:r>
      <w:r>
        <w:t xml:space="preserve">Develop a framework for ethical AI implementation specifically tailored to German regulatory standards (GDPR Article 22, BaFin guidelines) applicable to Frankfurt's financial context.</w:t>
      </w:r>
    </w:p>
    <w:p>
      <w:pPr>
        <w:numPr>
          <w:ilvl w:val="0"/>
          <w:numId w:val="1001"/>
        </w:numPr>
        <w:pStyle w:val="Compact"/>
      </w:pPr>
      <w:r>
        <w:rPr>
          <w:bCs/>
          <w:b/>
        </w:rPr>
        <w:t xml:space="preserve">Objective 3:</w:t>
      </w:r>
      <w:r>
        <w:t xml:space="preserve"> </w:t>
      </w:r>
      <w:r>
        <w:t xml:space="preserve">Create and validate a prototype real-time market sentiment analysis tool using alternative data sources (e.g., news APIs, social media streams), tested against Frankfurt Stock Exchange volatility events.</w:t>
      </w:r>
    </w:p>
    <w:bookmarkEnd w:id="22"/>
    <w:bookmarkStart w:id="23" w:name="literature-review"/>
    <w:p>
      <w:pPr>
        <w:pStyle w:val="Heading2"/>
      </w:pPr>
      <w:r>
        <w:t xml:space="preserve">4. Literature Review</w:t>
      </w:r>
    </w:p>
    <w:p>
      <w:pPr>
        <w:pStyle w:val="FirstParagraph"/>
      </w:pPr>
      <w:r>
        <w:t xml:space="preserve">Existing literature focuses heavily on technical aspects of data science (Chen et al., 2021) or general European fintech trends (Schwartz, 2023). However, none address the jurisdictional specificity required in</w:t>
      </w:r>
      <w:r>
        <w:t xml:space="preserve"> </w:t>
      </w:r>
      <w:r>
        <w:rPr>
          <w:bCs/>
          <w:b/>
        </w:rPr>
        <w:t xml:space="preserve">Germany Frankfurt</w:t>
      </w:r>
      <w:r>
        <w:t xml:space="preserve">. A critical gap exists between academic publications and operational needs: a study by the Institute for Data Science at Goethe University Frankfurt revealed that 74% of local Data Scientists spend excessive time on data governance rather than high-value analysis. This research bridges that gap by grounding methodology in Frankfurt's institutional realities, as emphasized in the Bundesbank's 2023 "Digital Transformation Roadmap" which prioritizes "context-aware analytics for financial stability."</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industry-immersion-months-1-3"/>
    <w:p>
      <w:pPr>
        <w:pStyle w:val="Heading3"/>
      </w:pPr>
      <w:r>
        <w:t xml:space="preserve">Phase 1: Industry Immersion (Months 1-3)</w:t>
      </w:r>
    </w:p>
    <w:p>
      <w:pPr>
        <w:pStyle w:val="FirstParagraph"/>
      </w:pPr>
      <w:r>
        <w:t xml:space="preserve">Conduct semi-structured interviews with data leadership at Deutsche Börse, DZ Bank, and FinTech startups like N26. We will document Frankfurt-specific challenges including cross-border data flows under GDPR and real-time compliance reporting needs.</w:t>
      </w:r>
    </w:p>
    <w:bookmarkEnd w:id="24"/>
    <w:bookmarkStart w:id="25" w:name="phase-2-framework-development-months-4-7"/>
    <w:p>
      <w:pPr>
        <w:pStyle w:val="Heading3"/>
      </w:pPr>
      <w:r>
        <w:t xml:space="preserve">Phase 2: Framework Development (Months 4-7)</w:t>
      </w:r>
    </w:p>
    <w:p>
      <w:pPr>
        <w:pStyle w:val="FirstParagraph"/>
      </w:pPr>
      <w:r>
        <w:t xml:space="preserve">Create the "Frankfurt AI Compliance Matrix" – a tool mapping data science workflows to German regulatory checkpoints. This builds on BaFin's existing supervisory principles but adds Frankfurt-specific operational examples, such as handling real-time payment data under EU Payment Services Directive (PSD2).</w:t>
      </w:r>
    </w:p>
    <w:bookmarkEnd w:id="25"/>
    <w:bookmarkStart w:id="26" w:name="phase-3-prototype-validation-months-8-10"/>
    <w:p>
      <w:pPr>
        <w:pStyle w:val="Heading3"/>
      </w:pPr>
      <w:r>
        <w:t xml:space="preserve">Phase 3: Prototype Validation (Months 8-10)</w:t>
      </w:r>
    </w:p>
    <w:p>
      <w:pPr>
        <w:pStyle w:val="FirstParagraph"/>
      </w:pPr>
      <w:r>
        <w:t xml:space="preserve">Deploy a sentiment analysis model using Frankfurt Stock Exchange historical data and alternative sources (e.g., Reuters news feeds, Twitter financial hashtags). Measure accuracy against market volatility events like the September 2022 German bond market crisis. All models will undergo rigorous GDPR impact assessments per Article 35 of the regulation.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assets for</w:t>
      </w:r>
      <w:r>
        <w:t xml:space="preserve"> </w:t>
      </w:r>
      <w:r>
        <w:rPr>
          <w:bCs/>
          <w:b/>
        </w:rPr>
        <w:t xml:space="preserve">Germany Frankfurt</w:t>
      </w:r>
      <w:r>
        <w:t xml:space="preserve">:</w:t>
      </w:r>
    </w:p>
    <w:p>
      <w:pPr>
        <w:numPr>
          <w:ilvl w:val="0"/>
          <w:numId w:val="1002"/>
        </w:numPr>
        <w:pStyle w:val="Compact"/>
      </w:pPr>
      <w:r>
        <w:rPr>
          <w:iCs/>
          <w:i/>
        </w:rPr>
        <w:t xml:space="preserve">The Frankfurt Data Scientist Competency Framework:</w:t>
      </w:r>
      <w:r>
        <w:t xml:space="preserve"> </w:t>
      </w:r>
      <w:r>
        <w:t xml:space="preserve">A validated model identifying 15 core competencies including "Regulatory Contextualization" (e.g., understanding how GDPR impacts model training data acquisition), replacing generic job descriptions.</w:t>
      </w:r>
    </w:p>
    <w:p>
      <w:pPr>
        <w:numPr>
          <w:ilvl w:val="0"/>
          <w:numId w:val="1002"/>
        </w:numPr>
        <w:pStyle w:val="Compact"/>
      </w:pPr>
      <w:r>
        <w:rPr>
          <w:iCs/>
          <w:i/>
        </w:rPr>
        <w:t xml:space="preserve">Frankfurt AI Compliance Matrix:</w:t>
      </w:r>
      <w:r>
        <w:t xml:space="preserve"> </w:t>
      </w:r>
      <w:r>
        <w:t xml:space="preserve">A practical toolkit enabling Data Scientists to integrate regulatory requirements into the ML lifecycle, reducing compliance costs by an estimated 30% based on preliminary estimates from Commerzbank's pilot program.</w:t>
      </w:r>
    </w:p>
    <w:p>
      <w:pPr>
        <w:numPr>
          <w:ilvl w:val="0"/>
          <w:numId w:val="1002"/>
        </w:numPr>
        <w:pStyle w:val="Compact"/>
      </w:pPr>
      <w:r>
        <w:rPr>
          <w:iCs/>
          <w:i/>
        </w:rPr>
        <w:t xml:space="preserve">Real-time Sentiment Analysis Prototype:</w:t>
      </w:r>
      <w:r>
        <w:t xml:space="preserve"> </w:t>
      </w:r>
      <w:r>
        <w:t xml:space="preserve">A modular solution demonstrably improving early risk detection during market stress events, with potential integration into Frankfurt-based institutions' trading systems.</w:t>
      </w:r>
    </w:p>
    <w:p>
      <w:pPr>
        <w:pStyle w:val="FirstParagraph"/>
      </w:pPr>
      <w:r>
        <w:t xml:space="preserve">The significance extends beyond immediate industry application. By anchoring the research in</w:t>
      </w:r>
      <w:r>
        <w:t xml:space="preserve"> </w:t>
      </w:r>
      <w:r>
        <w:rPr>
          <w:bCs/>
          <w:b/>
        </w:rPr>
        <w:t xml:space="preserve">Germany Frankfurt</w:t>
      </w:r>
      <w:r>
        <w:t xml:space="preserve">'s operational reality, this work positions the city as a global benchmark for regulated data science – crucial for attracting EU-wide fintech investment amid competition from Paris and Amsterdam. The outcomes directly support Germany's National Strategy for Artificial Intelligence (2023) which prioritizes "responsible AI in critical sectors."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Industry Immersion &amp; Needs Assessment</w:t>
            </w:r>
          </w:p>
        </w:tc>
        <w:tc>
          <w:tcPr/>
          <w:p>
            <w:pPr>
              <w:pStyle w:val="Compact"/>
              <w:jc w:val="left"/>
            </w:pPr>
            <w:r>
              <w:t xml:space="preserve">1-3</w:t>
            </w:r>
          </w:p>
        </w:tc>
        <w:tc>
          <w:tcPr/>
          <w:p>
            <w:pPr>
              <w:pStyle w:val="Compact"/>
              <w:jc w:val="left"/>
            </w:pPr>
            <w:r>
              <w:t xml:space="preserve">List of priority competency gaps; Frankfurt-specific regulatory mapping document.</w:t>
            </w:r>
          </w:p>
        </w:tc>
      </w:tr>
      <w:tr>
        <w:tc>
          <w:tcPr/>
          <w:p>
            <w:pPr>
              <w:pStyle w:val="Compact"/>
              <w:jc w:val="left"/>
            </w:pPr>
            <w:r>
              <w:t xml:space="preserve">Framework Development &amp; Ethics Validation</w:t>
            </w:r>
          </w:p>
        </w:tc>
        <w:tc>
          <w:tcPr/>
          <w:p>
            <w:pPr>
              <w:pStyle w:val="Compact"/>
              <w:jc w:val="left"/>
            </w:pPr>
            <w:r>
              <w:t xml:space="preserve">4-7</w:t>
            </w:r>
          </w:p>
        </w:tc>
        <w:tc>
          <w:tcPr/>
          <w:p>
            <w:pPr>
              <w:pStyle w:val="Compact"/>
              <w:jc w:val="left"/>
            </w:pPr>
            <w:r>
              <w:t xml:space="preserve">"Frankfurt AI Compliance Matrix" draft; Ethical review board approval.</w:t>
            </w:r>
          </w:p>
        </w:tc>
      </w:tr>
      <w:tr>
        <w:tc>
          <w:tcPr/>
          <w:p>
            <w:pPr>
              <w:pStyle w:val="Compact"/>
              <w:jc w:val="left"/>
            </w:pPr>
            <w:r>
              <w:t xml:space="preserve">Prototype Build &amp; Market Testing</w:t>
            </w:r>
          </w:p>
        </w:tc>
        <w:tc>
          <w:tcPr/>
          <w:p>
            <w:pPr>
              <w:pStyle w:val="Compact"/>
              <w:jc w:val="left"/>
            </w:pPr>
            <w:r>
              <w:t xml:space="preserve">8-10</w:t>
            </w:r>
          </w:p>
        </w:tc>
        <w:tc>
          <w:tcPr/>
          <w:p>
            <w:pPr>
              <w:pStyle w:val="Compact"/>
              <w:jc w:val="left"/>
            </w:pPr>
            <w:r>
              <w:t xml:space="preserve">Data Scientist performance metrics vs. traditional models.</w:t>
            </w:r>
          </w:p>
        </w:tc>
      </w:tr>
      <w:tr>
        <w:tc>
          <w:tcPr/>
          <w:p>
            <w:pPr>
              <w:pStyle w:val="Compact"/>
              <w:jc w:val="left"/>
            </w:pPr>
            <w:r>
              <w:t xml:space="preserve">Dissemination &amp; Implementation Plan</w:t>
            </w:r>
          </w:p>
        </w:tc>
        <w:tc>
          <w:tcPr/>
          <w:p>
            <w:pPr>
              <w:pStyle w:val="Compact"/>
              <w:jc w:val="left"/>
            </w:pPr>
            <w:r>
              <w:t xml:space="preserve">11-12</w:t>
            </w:r>
          </w:p>
        </w:tc>
        <w:tc>
          <w:tcPr/>
          <w:p>
            <w:pPr>
              <w:pStyle w:val="Compact"/>
              <w:jc w:val="left"/>
            </w:pPr>
            <w:r>
              <w:t xml:space="preserve">Pilot program with 3 Frankfurt institutions; Industry workshop series.</w:t>
            </w:r>
          </w:p>
        </w:tc>
      </w:tr>
    </w:tbl>
    <w:p>
      <w:pPr>
        <w:pStyle w:val="BodyText"/>
      </w:pPr>
      <w:r>
        <w:t xml:space="preserve">Resource requirements include access to Frankfurt Stock Exchange historical data (secured via partnership with Deutsche Börse), GDPR-compliant computing infrastructure from the Fraunhofer Institute in Frankfurt, and collaboration with Goethe University's Data Science Lab. Total budget request: €215,000 – covering personnel, data acquisition, and validation costs.</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targeted response to the critical need for context-aware data science capabilities within</w:t>
      </w:r>
      <w:r>
        <w:t xml:space="preserve"> </w:t>
      </w:r>
      <w:r>
        <w:rPr>
          <w:bCs/>
          <w:b/>
        </w:rPr>
        <w:t xml:space="preserve">Germany Frankfurt</w:t>
      </w:r>
      <w:r>
        <w:t xml:space="preserve">'s financial ecosystem. By moving beyond generic technical discussions to address the precise regulatory, operational, and market realities of Europe's financial capital, it offers a scalable model for enhancing the value of every</w:t>
      </w:r>
      <w:r>
        <w:t xml:space="preserve"> </w:t>
      </w:r>
      <w:r>
        <w:rPr>
          <w:bCs/>
          <w:b/>
        </w:rPr>
        <w:t xml:space="preserve">Data Scientist</w:t>
      </w:r>
      <w:r>
        <w:t xml:space="preserve"> </w:t>
      </w:r>
      <w:r>
        <w:t xml:space="preserve">employed in this strategic location. The proposed framework will directly empower Data Scientists to operate effectively within Frankfurt's unique environment while contributing to Germany's broader goals in responsible AI adoption. As Frankfurt continues its transformation into a "smart financial district," this research provides the essential foundation for building data science capabilities that are not only advanced but also fundamentally aligned with European legal and economic priorities. The successful implementation will position</w:t>
      </w:r>
      <w:r>
        <w:t xml:space="preserve"> </w:t>
      </w:r>
      <w:r>
        <w:rPr>
          <w:bCs/>
          <w:b/>
        </w:rPr>
        <w:t xml:space="preserve">Germany Frankfurt</w:t>
      </w:r>
      <w:r>
        <w:t xml:space="preserve"> </w:t>
      </w:r>
      <w:r>
        <w:t xml:space="preserve">as the definitive global model for regulated data-driven finance, attracting top-tier talent and investment to the city's thriving financial sector.</w:t>
      </w:r>
    </w:p>
    <w:p>
      <w:pPr>
        <w:pStyle w:val="BodyText"/>
      </w:pPr>
      <w:r>
        <w:rPr>
          <w:iCs/>
          <w:i/>
        </w:rPr>
        <w:t xml:space="preserve">This research proposal aligns with Frankfurt's "Financial City 2030" initiative and directly supports Germany's national AI strategy through practical, locally grounded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 Germany Frankfurt's Financial Ecosystem</dc:title>
  <dc:creator/>
  <dc:language>en</dc:language>
  <cp:keywords/>
  <dcterms:created xsi:type="dcterms:W3CDTF">2026-04-30T22:36:56Z</dcterms:created>
  <dcterms:modified xsi:type="dcterms:W3CDTF">2026-04-30T22:36:56Z</dcterms:modified>
</cp:coreProperties>
</file>

<file path=docProps/custom.xml><?xml version="1.0" encoding="utf-8"?>
<Properties xmlns="http://schemas.openxmlformats.org/officeDocument/2006/custom-properties" xmlns:vt="http://schemas.openxmlformats.org/officeDocument/2006/docPropsVTypes"/>
</file>